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1023</w:t>
        <w:t xml:space="preserve">.  </w:t>
      </w:r>
      <w:r>
        <w:rPr>
          <w:b/>
        </w:rPr>
        <w:t xml:space="preserve">Code of ethics</w:t>
      </w:r>
    </w:p>
    <w:p>
      <w:pPr>
        <w:jc w:val="both"/>
        <w:spacing w:before="100" w:after="100"/>
        <w:ind w:start="360"/>
        <w:ind w:firstLine="360"/>
      </w:pPr>
      <w:r>
        <w:rPr/>
      </w:r>
      <w:r>
        <w:rPr/>
      </w:r>
      <w:r>
        <w:t xml:space="preserve">The Legislature by Joint Rule shall adopt and publish a code of ethics for Legislators and legislative employees.</w:t>
      </w:r>
      <w:r>
        <w:t xml:space="preserve">  </w:t>
      </w:r>
      <w:r xmlns:wp="http://schemas.openxmlformats.org/drawingml/2010/wordprocessingDrawing" xmlns:w15="http://schemas.microsoft.com/office/word/2012/wordml">
        <w:rPr>
          <w:rFonts w:ascii="Arial" w:hAnsi="Arial" w:cs="Arial"/>
          <w:sz w:val="22"/>
          <w:szCs w:val="22"/>
        </w:rPr>
        <w:t xml:space="preserve">[PL 1989, c. 561,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561,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§1023. Code of ethics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§1023. Code of ethics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§1023. CODE OF ETHICS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