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1447</w:t>
        <w:t xml:space="preserve">.  </w:t>
      </w:r>
      <w:r>
        <w:rPr>
          <w:b/>
        </w:rPr>
        <w:t xml:space="preserve">Civil remedies</w:t>
      </w:r>
    </w:p>
    <w:p>
      <w:pPr>
        <w:jc w:val="both"/>
        <w:spacing w:before="100" w:after="100"/>
        <w:ind w:start="360"/>
        <w:ind w:firstLine="360"/>
      </w:pPr>
      <w:r>
        <w:rPr/>
      </w:r>
      <w:r>
        <w:rPr/>
      </w:r>
      <w:r>
        <w:t xml:space="preserve">Any manufacturer, warrantor, dealer or recreational vehicle dealer who has been damaged by reason of a violation of a provision of this chapter may bring an action to enjoin a person from acting as a dealer without being properly licensed, from violating or continuing to violate any of the provisions of this chapter, or from failing or refusing to comply with the requirements of this chapter, and to recover any damages arising from that violation of any part of this chapter.  The injunction must be issued without bond. A single act in violation of the provisions of this chapter is sufficient to authorize the issuance of an injunction.  A final judgment, order or decree rendered against a person in any civil, criminal or administrative proceeding under the federal antitrust laws, the Federal Trade Commission Act or under the Maine Revised Statutes is prima facie evidence against that person subject to the conditions set forth in the federal antitrust laws, 15 United States Code, Section 16.  Each party is responsible for its own attorney's fees and court costs.  Neither party has a claim on such expenses from the other party.</w:t>
      </w:r>
      <w:r>
        <w:t xml:space="preserve">  </w:t>
      </w:r>
      <w:r xmlns:wp="http://schemas.openxmlformats.org/drawingml/2010/wordprocessingDrawing" xmlns:w15="http://schemas.microsoft.com/office/word/2012/wordml">
        <w:rPr>
          <w:rFonts w:ascii="Arial" w:hAnsi="Arial" w:cs="Arial"/>
          <w:sz w:val="22"/>
          <w:szCs w:val="22"/>
        </w:rPr>
        <w:t xml:space="preserve">[PL 2009, c. 562,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2009, c. 562,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§1447. Civil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§1447. Civil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§1447. CIVIL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