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12512</w:t>
        <w:t xml:space="preserve">.  </w:t>
      </w:r>
      <w:r>
        <w:rPr>
          <w:b/>
        </w:rPr>
        <w:t xml:space="preserve">Permit to transport live fish for breeding and advertising</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take and transport within the limits of the State fish taken in the State for breeding or advertising purposes without a valid permit issued under this section.  A person who violates this subsection commits a Class E crime, except that, notwithstanding </w:t>
      </w:r>
      <w:r>
        <w:t>Title 17‑A, section 1704</w:t>
      </w:r>
      <w:r>
        <w:t xml:space="preserve">, the fine may not be less than $1,000 nor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§23 (AMD).]</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permit to a person permitting that person to take and transport within the limits of the State fish taken in the State for breeding or advertising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§257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§B257 (RPR). PL 2003, c. 655, §B422 (AFF). PL 2019, c. 113, Pt. C,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§12512. Permit to transport live fish for breeding and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§12512. Permit to transport live fish for breeding and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§12512. PERMIT TO TRANSPORT LIVE FISH FOR BREEDING AND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