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Submission of matters for shareholder vote</w:t>
      </w:r>
    </w:p>
    <w:p>
      <w:pPr>
        <w:jc w:val="both"/>
        <w:spacing w:before="100" w:after="100"/>
        <w:ind w:start="360"/>
        <w:ind w:firstLine="360"/>
      </w:pPr>
      <w:r>
        <w:rPr/>
      </w:r>
      <w:r>
        <w:rPr/>
      </w:r>
      <w:r>
        <w:t xml:space="preserve">A corporation may agree to submit a matter to a vote of its shareholders even if, after approving the matter, the board of directors determines it no longer recommends the matter.</w:t>
      </w:r>
      <w:r>
        <w:t xml:space="preserve">  </w:t>
      </w:r>
      <w:r xmlns:wp="http://schemas.openxmlformats.org/drawingml/2010/wordprocessingDrawing" xmlns:w15="http://schemas.microsoft.com/office/word/2012/wordml">
        <w:rPr>
          <w:rFonts w:ascii="Arial" w:hAnsi="Arial" w:cs="Arial"/>
          <w:sz w:val="22"/>
          <w:szCs w:val="22"/>
        </w:rPr>
        <w:t xml:space="preserve">[PL 2011, c. 274,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Submission of matters for shareholder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Submission of matters for shareholder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§827. SUBMISSION OF MATTERS FOR SHAREHOLDER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