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§4 (AMD).]</w:t>
      </w:r>
    </w:p>
    <w:p>
      <w:pPr>
        <w:jc w:val="both"/>
        <w:spacing w:before="100" w:after="0"/>
        <w:ind w:start="360"/>
        <w:ind w:firstLine="360"/>
      </w:pPr>
      <w:r>
        <w:rPr>
          <w:b/>
        </w:rPr>
        <w:t>2</w:t>
        <w:t xml:space="preserve">.  </w:t>
      </w:r>
      <w:r>
        <w:rPr>
          <w:b/>
        </w:rPr>
        <w:t xml:space="preserve">Content information.</w:t>
        <w:t xml:space="preserve"> </w:t>
      </w:r>
      <w:r>
        <w:t xml:space="preserve"> </w:t>
      </w:r>
      <w:r>
        <w:t xml:space="preserve">"Content information," when used with respect to any wire, oral or electronic communication, includes any information concerning the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Electronic communication service.</w:t>
        <w:t xml:space="preserve"> </w:t>
      </w:r>
      <w:r>
        <w:t xml:space="preserve"> </w:t>
      </w:r>
      <w:r>
        <w:t xml:space="preserve">"Electronic communication service" means a service that provides to users the ability to send or receive spoken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government agency, including but not limited to a law enforcement entity or any other investigative entity, agency, department, division, bureau, board or commission or an individual acting or purporting to act for or on behalf of a state or local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person or entity having the legal title, claim or right to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6</w:t>
        <w:t xml:space="preserve">.  </w:t>
      </w:r>
      <w:r>
        <w:rPr>
          <w:b/>
        </w:rPr>
        <w:t xml:space="preserve">Portable electronic device.</w:t>
        <w:t xml:space="preserve"> </w:t>
      </w:r>
      <w:r>
        <w:t xml:space="preserve"> </w:t>
      </w:r>
      <w:r>
        <w:t xml:space="preserve">"Portable electronic device" means a device that is portable and electric that enables access to, or use of, an electronic communication service or remote computing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§5 (AMD).]</w:t>
      </w:r>
    </w:p>
    <w:p>
      <w:pPr>
        <w:jc w:val="both"/>
        <w:spacing w:before="100" w:after="0"/>
        <w:ind w:start="360"/>
        <w:ind w:firstLine="360"/>
      </w:pPr>
      <w:r>
        <w:rPr>
          <w:b/>
        </w:rPr>
        <w:t>7</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ind w:firstLine="360"/>
      </w:pPr>
      <w:r>
        <w:rPr>
          <w:b/>
        </w:rPr>
        <w:t>7-A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§6 (NEW).]</w:t>
      </w:r>
    </w:p>
    <w:p>
      <w:pPr>
        <w:jc w:val="both"/>
        <w:spacing w:before="100" w:after="0"/>
        <w:ind w:start="360"/>
        <w:ind w:firstLine="360"/>
      </w:pPr>
      <w:r>
        <w:rPr>
          <w:b/>
        </w:rPr>
        <w:t>8</w:t>
        <w:t xml:space="preserve">.  </w:t>
      </w:r>
      <w:r>
        <w:rPr>
          <w:b/>
        </w:rPr>
        <w:t xml:space="preserve">User.</w:t>
        <w:t xml:space="preserve"> </w:t>
      </w:r>
      <w:r>
        <w:t xml:space="preserve"> </w:t>
      </w:r>
      <w:r>
        <w:t xml:space="preserve">"User" means a person or entity that uses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§641.  Definitions (As enacted by PL 2013, c. 409, §1 is REALLOCATED TO TITLE 16, SECTION 647)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2013, c. 402, §1 (NEW). PL 2013, c. 409, §1 (NEW). PL 2019, c. 489,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