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5-621</w:t>
        <w:t xml:space="preserve">.  </w:t>
      </w:r>
      <w:r>
        <w:rPr>
          <w:b/>
        </w:rPr>
        <w:t xml:space="preserve">Definitions; significant-connection factors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subpart, unless the context otherwise indicates, the following terms have the following meanings.</w:t>
      </w:r>
    </w:p>
    <w:p>
      <w:pPr>
        <w:jc w:val="both"/>
        <w:spacing w:before="100" w:after="0"/>
        <w:ind w:start="720"/>
      </w:pPr>
      <w:r>
        <w:rPr/>
        <w:t>A</w:t>
        <w:t xml:space="preserve">.  </w:t>
      </w:r>
      <w:r>
        <w:rPr/>
      </w:r>
      <w:r>
        <w:t xml:space="preserve">"Emergency" means a circumstance that likely will result in substantial harm to a respondent's health, safety or welfare and for which the appointment of a guardian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"Home state" means the state in which the respondent was physically present, including any period of temporary absence, for at least 6 consecutive months immediately before the filing of a petition for a protective order or the appointment of a guardian or, if the respondent was not physically present in a single state for the 6 months immediately preceding the filing of the petition, the state in which the respondent was physically present, including any period of temporary absence, for at least 6 consecutive months ending within the 6 months prior to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"Significant-connection state" means a state, other than the home state, with which a respondent has a significant connection other than mere physical presence and in which substantial evidence concerning the respondent is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factors.</w:t>
        <w:t xml:space="preserve"> </w:t>
      </w:r>
      <w:r>
        <w:t xml:space="preserve"> </w:t>
      </w:r>
      <w:r>
        <w:t xml:space="preserve">In determining under </w:t>
      </w:r>
      <w:r>
        <w:t>section 5‑623</w:t>
      </w:r>
      <w:r>
        <w:t xml:space="preserve"> and </w:t>
      </w:r>
      <w:r>
        <w:t>section 5‑631, subsection 5</w:t>
      </w:r>
      <w:r>
        <w:t xml:space="preserve"> whether a respondent has a significant connection with a particular state, the court shall consider:</w:t>
      </w:r>
    </w:p>
    <w:p>
      <w:pPr>
        <w:jc w:val="both"/>
        <w:spacing w:before="100" w:after="0"/>
        <w:ind w:start="720"/>
      </w:pPr>
      <w:r>
        <w:rPr/>
        <w:t>A</w:t>
        <w:t xml:space="preserve">.  </w:t>
      </w:r>
      <w:r>
        <w:rPr/>
      </w:r>
      <w:r>
        <w:t xml:space="preserve">The location of the respondent's family and other persons required to be notified of the guardianship proceeding or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length of time the respondent at any time was physically present in the state and the duration of any absence;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location of the respondent's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extent to which the respondent has ties to the state such as voting registration, state or local tax return filing, vehicle registration, driver's license, social relationship and receipt of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§5-621. Definitions; significant-connection factors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§5-621. Definitions; significant-connection factors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§5-621. DEFINITIONS; SIGNIFICANT-CONNECTION FACTORS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