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8-111</w:t>
        <w:t xml:space="preserve">.  </w:t>
      </w:r>
      <w:r>
        <w:rPr>
          <w:b/>
        </w:rPr>
        <w:t xml:space="preserve">Arbitration of claims</w:t>
      </w:r>
    </w:p>
    <w:p>
      <w:pPr>
        <w:jc w:val="both"/>
        <w:spacing w:before="100" w:after="100"/>
        <w:ind w:start="360"/>
        <w:ind w:firstLine="360"/>
      </w:pPr>
      <w:r>
        <w:rPr/>
      </w:r>
      <w:r>
        <w:rPr/>
      </w:r>
      <w:r>
        <w:t xml:space="preserve">The court may authorize the receiver appointed under </w:t>
      </w:r>
      <w:r>
        <w:t>section 8‑108</w:t>
      </w:r>
      <w:r>
        <w:t xml:space="preserve"> to adjust by arbitration or compromise any demand in favor of or against the absentee's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§8-111. Arbitration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§8-111. Arbitration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§8-111. ARBITRATION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