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11426</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profit-sharing, retirement funds and other persons carrying on a banking business and all other persons whatsoever, may properly and legally invest funds, including capital in their control or belonging to them.  These bonds are hereby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§11426.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§11426.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§11426.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