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698, §26 (NEW); PL 1989, c. 698, §76 (AFF).]</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§26 (NEW); PL 1989, c. 698, §76 (AFF).]</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 (AFF); PL 1989, c. 698,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