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15682</w:t>
        <w:t xml:space="preserve">.  </w:t>
      </w:r>
      <w:r>
        <w:rPr>
          <w:b/>
        </w:rPr>
        <w:t xml:space="preserve">Regional adjustment</w:t>
      </w:r>
    </w:p>
    <w:p>
      <w:pPr>
        <w:jc w:val="both"/>
        <w:spacing w:before="100" w:after="100"/>
        <w:ind w:start="360"/>
        <w:ind w:firstLine="360"/>
      </w:pPr>
      <w:r>
        <w:rPr/>
      </w:r>
      <w:r>
        <w:rPr/>
      </w:r>
      <w:r>
        <w:t xml:space="preserve">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and benefits costs as calculated under </w:t>
      </w:r>
      <w:r>
        <w:t>section 15678</w:t>
      </w:r>
      <w:r>
        <w:t xml:space="preserve"> and salary and benefit costs of other school-level staff who are not teachers as calculated under </w:t>
      </w:r>
      <w:r>
        <w:t>section 15679</w:t>
      </w:r>
      <w:r>
        <w:t xml:space="preserve">. Beginning in fiscal year 2012-13, and for each subsequent fiscal year, 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costs as calculated under </w:t>
      </w:r>
      <w:r>
        <w:t>section 15678</w:t>
      </w:r>
      <w:r>
        <w:t xml:space="preserve"> and salary costs of other school-level staff who are not teachers as calculated under </w:t>
      </w:r>
      <w:r>
        <w:t>section 15679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§D46 (AMD). PL 2005, c. 2, §D72,74 (AFF). PL 2005, c. 12, §WW18 (AFF). PL 2005, c. 519, §AAAA9 (AMD). PL 2009, c. 213, Pt. C, §6 (AMD). PL 2011, c. 419,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§15682. Regional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§15682. Regional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§15682. REGIONAL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