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Owner liable for damage by minor under 18 acting with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§1861. Owner liable for damage by minor under 18 acting with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Owner liable for damage by minor under 18 acting with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§1861. OWNER LIABLE FOR DAMAGE BY MINOR UNDER 18 ACTING WITH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