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Contributions</w:t>
      </w:r>
    </w:p>
    <w:p>
      <w:pPr>
        <w:jc w:val="both"/>
        <w:spacing w:before="100" w:after="100"/>
        <w:ind w:start="360"/>
        <w:ind w:firstLine="360"/>
      </w:pPr>
      <w:r>
        <w:rPr/>
      </w:r>
      <w:r>
        <w:rPr/>
      </w:r>
      <w:r>
        <w:t xml:space="preserve">The commission may accept gifts, bequests and federal funds for purposes consistent with the objectives of this chapter.  These gifts, bequests and federal funds must be used solely to carry out the purposes for which they were made.  Gifts may include furnishings or other artifacts.  Contributions received by the commission for the purpose of major repairs or renovations to the State House may be transferred to the Reserve Fund for State House Preservation and Maintenance established in </w:t>
      </w:r>
      <w:r>
        <w:t>section 162,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415,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1993, c. 415, §J2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§905.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