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114</w:t>
      </w:r>
    </w:p>
    <w:p>
      <w:pPr>
        <w:jc w:val="center"/>
        <w:ind w:start="360"/>
        <w:spacing w:before="300" w:after="300"/>
      </w:pPr>
      <w:r>
        <w:rPr>
          <w:b/>
        </w:rPr>
        <w:t xml:space="preserve">INTERGOVERNMENTAL COOPERATION</w:t>
      </w:r>
    </w:p>
    <w:p>
      <w:pPr>
        <w:jc w:val="both"/>
        <w:spacing w:before="100" w:after="100"/>
        <w:ind w:start="1080" w:hanging="720"/>
      </w:pPr>
      <w:r>
        <w:rPr>
          <w:b/>
        </w:rPr>
        <w:t>§</w:t>
        <w:t>2181</w:t>
        <w:t xml:space="preserve">.  </w:t>
      </w:r>
      <w:r>
        <w:rPr>
          <w:b/>
        </w:rPr>
        <w:t xml:space="preserve">Intergovernmental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§12 (NEW). PL 2005, c. 2, §D64 (AMD). PL 2005, c. 2, §§D72,74 (AFF). PL 2005, c. 12, §WW18 (AFF). PL 2005, c. 222, §2 (AMD). PL 2009, c. 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114. INTERGOVERNMENTAL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114. INTERGOVERNMENTAL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114. INTERGOVERNMENTAL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