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Charter powers; limits</w:t>
      </w:r>
    </w:p>
    <w:p>
      <w:pPr>
        <w:jc w:val="both"/>
        <w:spacing w:before="100" w:after="100"/>
        <w:ind w:start="360"/>
        <w:ind w:firstLine="360"/>
      </w:pPr>
      <w:r>
        <w:rPr>
          <w:b/>
        </w:rPr>
        <w:t>1</w:t>
        <w:t xml:space="preserve">.  </w:t>
      </w:r>
      <w:r>
        <w:rPr>
          <w:b/>
        </w:rPr>
        <w:t xml:space="preserve">Charter powers.</w:t>
        <w:t xml:space="preserve"> </w:t>
      </w:r>
      <w:r>
        <w:t xml:space="preserve"> </w:t>
      </w:r>
      <w:r>
        <w:t xml:space="preserve">The charter for any county may provide for:</w:t>
      </w:r>
    </w:p>
    <w:p>
      <w:pPr>
        <w:jc w:val="both"/>
        <w:spacing w:before="100" w:after="0"/>
        <w:ind w:start="720"/>
      </w:pPr>
      <w:r>
        <w:rPr/>
        <w:t>A</w:t>
        <w:t xml:space="preserve">.  </w:t>
      </w:r>
      <w:r>
        <w:rPr/>
      </w:r>
      <w:r>
        <w:t xml:space="preserve">The organization of county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election of a county legislative body and the method of selecting officers,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of county departments, agencies, boards or commissions, and their descriptions, powers and duties; and the powers and authority of county officers or officials to direct, regulate and control these agencies, departments, boards and commissions;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internal activities of county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provisions required for the transition to the new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county adopting a charter under this chapter may exercise only those powers specifically stated in the charter.  New powers may only be exercised upon amendment or revision of the charter.  In any event, no county may, by the adoption, amendment or revision of a charter, exercise any power or function which the Legislature has not conferred on that county either expressly or by clear implication by general or specific law.  A county may not alter the statutory method of raising money for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Districts.</w:t>
        <w:t xml:space="preserve"> </w:t>
      </w:r>
      <w:r>
        <w:t xml:space="preserve"> </w:t>
      </w:r>
      <w:r>
        <w:t xml:space="preserve">A county adopting a charter under this chapter shall provide for the election of county officers from 3, 5 or 7 districts, from each of which one officer shall be elected.  The charter shall specify the number of districts and establish the boundaries of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Charter powers;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Charter powers;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§1351. CHARTER POWERS;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