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several voters in the municipality, elected under </w:t>
      </w:r>
      <w:r>
        <w:t>paragraph A</w:t>
      </w:r>
      <w:r>
        <w:t xml:space="preserve">, and 3 members appointed by the municipal officers under </w:t>
      </w:r>
      <w:r>
        <w:t>paragraph B</w:t>
      </w:r>
      <w:r>
        <w:t xml:space="preserve">.</w:t>
      </w:r>
    </w:p>
    <w:p>
      <w:pPr>
        <w:jc w:val="both"/>
        <w:spacing w:before="100" w:after="0"/>
        <w:ind w:start="720"/>
      </w:pPr>
      <w:r>
        <w:rPr/>
        <w:t>A</w:t>
        <w:t xml:space="preserve">.  </w:t>
      </w:r>
      <w:r>
        <w:rPr/>
      </w:r>
      <w:r>
        <w:t xml:space="preserve">Voter members must be elected by one of the following methods:</w:t>
      </w:r>
    </w:p>
    <w:p>
      <w:pPr>
        <w:jc w:val="both"/>
        <w:spacing w:before="100" w:after="0"/>
        <w:ind w:start="1080"/>
      </w:pPr>
      <w:r>
        <w:rPr/>
        <w:t>(</w:t>
        <w:t>1</w:t>
        <w:t xml:space="preserve">)  </w:t>
      </w:r>
      <w:r>
        <w:rPr/>
      </w:r>
      <w:r>
        <w:t xml:space="preserve">Six voter members are elected in the same manner as the municipal officers, except that they must be elected at-large and without party designations;</w:t>
      </w:r>
    </w:p>
    <w:p>
      <w:pPr>
        <w:jc w:val="both"/>
        <w:spacing w:before="100" w:after="0"/>
        <w:ind w:start="1080"/>
      </w:pPr>
      <w:r>
        <w:rPr/>
        <w:t>(</w:t>
        <w:t>2</w:t>
        <w:t xml:space="preserve">)  </w:t>
      </w:r>
      <w:r>
        <w:rPr/>
      </w:r>
      <w:r>
        <w:t xml:space="preserve">One voter member is elected from each voting district or ward in the same manner as municipal officers, except that the voter member must be elected without party designation; or</w:t>
      </w:r>
    </w:p>
    <w:p>
      <w:pPr>
        <w:jc w:val="both"/>
        <w:spacing w:before="100" w:after="0"/>
        <w:ind w:start="1080"/>
      </w:pPr>
      <w:r>
        <w:rPr/>
        <w:t>(</w:t>
        <w:t>3</w:t>
        <w:t xml:space="preserve">)  </w:t>
      </w:r>
      <w:r>
        <w:rPr/>
      </w:r>
      <w:r>
        <w:t xml:space="preserve">Voter members are elected both at-large and by district or ward, as long as the number of voter members is the same as the number of municipal officers on the board or council of that municipality and the voter members are elected in the same manner as the municipal officers, except that they must be elected without party designation.</w:t>
      </w:r>
    </w:p>
    <w:p>
      <w:pPr>
        <w:jc w:val="both"/>
        <w:spacing w:before="100" w:after="0"/>
        <w:ind w:start="720"/>
      </w:pPr>
      <w:r>
        <w:rPr/>
      </w:r>
      <w:r>
        <w:rPr/>
      </w:r>
      <w:r>
        <w:t xml:space="preserve">Election of voter members may be held either at the same municipal election as the referendum for the charter commission or at the next scheduled regular or special municipal or state election.  The names of the candidates on the ballot must be arranged alphabetically by last name.  If the elections are held at the same time, the names of the candidates must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2009, c. 52, §1 (AMD); PL 2009, c. 52, §2 (AFF).]</w:t>
      </w:r>
    </w:p>
    <w:p>
      <w:pPr>
        <w:jc w:val="both"/>
        <w:spacing w:before="100" w:after="0"/>
        <w:ind w:start="720"/>
      </w:pPr>
      <w:r>
        <w:rPr/>
        <w:t>B</w:t>
        <w:t xml:space="preserve">.  </w:t>
      </w:r>
      <w:r>
        <w:rPr/>
      </w:r>
      <w:r>
        <w:t xml:space="preserve">Appointive members need not be residents of the municipality, but only one may be a municipal officer.  The municipal officers shall make the appointments in accordance with municipal custom or bylaws within 30 days after the election approving the establishment of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 §1 (AMD); PL 2009, c. 52, §2 (AFF).]</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municipal officers, the municipal clerk shall notify the appointed and elected members of the charter commission of the date, time and place of the charter commission's organizational meeting.  The clerk shall set the date, time and place of the meeting and give at least 7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these elections with the municipal clerk.  Vacancies occurring on the commission shall be filled by vote of the commission from the voters of the municipality, except that a vacancy among appointive members shall be promptly filled by the municipal officers.  Members shall serve without compensation, but shall be reimbursed from the commission's account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 staff.</w:t>
        <w:t xml:space="preserve"> </w:t>
      </w:r>
      <w:r>
        <w:t xml:space="preserve"> </w:t>
      </w:r>
      <w:r>
        <w:t xml:space="preserve">The charter commission may adopt regulations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municipality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municipal officers, officials and employees during ordinary working hours.  Within 20 days after the members of a charter commission are elected and appointed, the municipal officers shall credit $100 to the charter commission account.  A municipality, from time to time, may appropriate additional funds to the charter commission account.  These funds may be raised by taxation, borrowed or transferred from surplus.</w:t>
      </w:r>
    </w:p>
    <w:p>
      <w:pPr>
        <w:jc w:val="both"/>
        <w:spacing w:before="100" w:after="0"/>
        <w:ind w:start="720"/>
      </w:pPr>
      <w:r>
        <w:rPr/>
        <w:t>A</w:t>
        <w:t xml:space="preserve">.  </w:t>
      </w:r>
      <w:r>
        <w:rPr/>
      </w:r>
      <w:r>
        <w:t xml:space="preserve">In addition to funds made available by a municipality, the charter commission account may receive funds from any other source, public or private, except that no contribution of more than $5 may be accepted from any source other than the municipality,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municipality's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following requirements regarding hearings, reports and time limits apply to a charter commission.</w:t>
      </w:r>
    </w:p>
    <w:p>
      <w:pPr>
        <w:jc w:val="both"/>
        <w:spacing w:before="100" w:after="0"/>
        <w:ind w:start="720"/>
      </w:pPr>
      <w:r>
        <w:rPr/>
        <w:t>A</w:t>
        <w:t xml:space="preserve">.  </w:t>
      </w:r>
      <w:r>
        <w:rPr/>
      </w:r>
      <w:r>
        <w:t xml:space="preserve">Within 30 days after its organizational meeting, the charter commission shall hold a public meeting to receive information, views, comments and other material relating to its functions.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charter commission shall hold its public hearings within the municipality at the times and places set by the commission.  At least 10 days before a hearing, the charter commission shall publish the date, time and place of the hearing in a notice in a newspaper having general circulation in the municipality.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municipality; and</w:t>
      </w:r>
    </w:p>
    <w:p>
      <w:pPr>
        <w:jc w:val="both"/>
        <w:spacing w:before="100" w:after="0"/>
        <w:ind w:start="1080"/>
      </w:pPr>
      <w:r>
        <w:rPr/>
        <w:t>(</w:t>
        <w:t>3</w:t>
        <w:t xml:space="preserve">)  </w:t>
      </w:r>
      <w:r>
        <w:rPr/>
      </w:r>
      <w:r>
        <w:t xml:space="preserve">Provide sufficient copies of the preliminary report to the municipal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Within 12 months after its election, the charter commission shall submit its final report to the municipal officers.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contain any provision prohibited by the United States Constitution, the Constitution of Maine or the general laws.</w:t>
      </w:r>
    </w:p>
    <w:p>
      <w:pPr>
        <w:jc w:val="both"/>
        <w:spacing w:before="100" w:after="0"/>
        <w:ind w:start="720"/>
      </w:pPr>
      <w:r>
        <w:rPr/>
      </w:r>
      <w:r>
        <w:rPr/>
      </w:r>
      <w:r>
        <w:t xml:space="preserve">Minority reports if filed may not exceed 1,000 words.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municipal officers may extend the time limits for the preparation and submission of preliminary and final reports of the charter commission for up to 24 months after the election of the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municipal officers shall order the proposed new charter or charter revision to be submitted to the voters at the next regular or special municipal election held at least 35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Charter modification summaries.</w:t>
        <w:t xml:space="preserve"> </w:t>
      </w:r>
      <w:r>
        <w:t xml:space="preserve"> </w:t>
      </w:r>
      <w:r>
        <w:t xml:space="preserve">When a proposed charter revision is submitted to the voters in separate questions as charter modifications under </w:t>
      </w:r>
      <w:r>
        <w:t>section 2105, subsection 1, paragraph A</w:t>
      </w:r>
      <w:r>
        <w:t xml:space="preserve">, and the municipal officers, with the advice of an attorney, determine that it is not practical to print the proposed charter modification on the ballot and that a summary would not misrepresent the subject matter of the proposed modification, a summary of the modification may be substituted for the text of the proposed modification in the same manner as a summary is substituted for a proposed amendment under </w:t>
      </w:r>
      <w:r>
        <w:t>section 2104,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municipal officers for the purpose of winding up its affairs.</w:t>
      </w:r>
    </w:p>
    <w:p>
      <w:pPr>
        <w:jc w:val="both"/>
        <w:spacing w:before="100" w:after="0"/>
        <w:ind w:start="720"/>
      </w:pPr>
      <w:r>
        <w:rPr/>
        <w:t>A</w:t>
        <w:t xml:space="preserve">.  </w:t>
      </w:r>
      <w:r>
        <w:rPr/>
      </w:r>
      <w:r>
        <w:t xml:space="preserve">If judicial review is sought under </w:t>
      </w:r>
      <w:r>
        <w:t>section 2108</w:t>
      </w:r>
      <w:r>
        <w:t xml:space="preserve">, the charter commission shall continue in existence until that review and any appeals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495, §1 (AMD). PL 2009, c. 52, §1 (AMD). PL 2009, c. 52,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Charter commission, membership,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Charter commission, membership,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§2103. CHARTER COMMISSION, MEMBERSHIP,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