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2171-A</w:t>
        <w:t xml:space="preserve">.  </w:t>
      </w:r>
      <w:r>
        <w:rPr>
          <w:b/>
        </w:rPr>
        <w:t xml:space="preserve">Secession of territory from a municipality</w:t>
      </w:r>
    </w:p>
    <w:p>
      <w:pPr>
        <w:jc w:val="both"/>
        <w:spacing w:before="100" w:after="100"/>
        <w:ind w:start="360"/>
        <w:ind w:firstLine="360"/>
      </w:pPr>
      <w:r>
        <w:rPr/>
      </w:r>
      <w:r>
        <w:rPr/>
      </w:r>
      <w:r>
        <w:t xml:space="preserve">Residents of territory within a municipality must follow the procedures set forth in this subchapter before seeking authority from the Legislature to secede from the municipality.</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§2171-A. Secession of territory from a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§2171-A. Secession of territory from a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§2171-A. SECESSION OF TERRITORY FROM A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