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2958</w:t>
        <w:t xml:space="preserve">.  </w:t>
      </w:r>
      <w:r>
        <w:rPr>
          <w:b/>
        </w:rPr>
        <w:t xml:space="preserve">Fences may vary from dividing line</w:t>
      </w:r>
    </w:p>
    <w:p>
      <w:pPr>
        <w:jc w:val="both"/>
        <w:spacing w:before="100" w:after="100"/>
        <w:ind w:start="360"/>
        <w:ind w:firstLine="360"/>
      </w:pPr>
      <w:r>
        <w:rPr/>
      </w:r>
      <w:r>
        <w:rPr/>
      </w:r>
      <w:r>
        <w:t xml:space="preserve">When, in the opinion of the fence viewers having jurisdiction of the case, it is, by reason of natural impediments, impracticable or unreasonably expensive to build a fence on the true line between adjacent lands and the occupants disagree respecting its position, on application of either party as provided in </w:t>
      </w:r>
      <w:r>
        <w:t>section 2955</w:t>
      </w:r>
      <w:r>
        <w:t xml:space="preserve">, and after notice to both parties and a view of the premises, they may determine by a certificate under their hands communicated to each party on which side of the true line and at what distance, or whether partly on one side and partly on the other and at what distances, the fence shall be built and maintained and in what proportion by each party.  Either party may have the same remedy against the other as if the fence were on the true line.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§2958. Fences may vary from dividing line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§2958. Fences may vary from dividing line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§2958. FENCES MAY VARY FROM DIVIDING LINE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