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2962</w:t>
        <w:t xml:space="preserve">.  </w:t>
      </w:r>
      <w:r>
        <w:rPr>
          <w:b/>
        </w:rPr>
        <w:t xml:space="preserve">Fences on town line</w:t>
      </w:r>
    </w:p>
    <w:p>
      <w:pPr>
        <w:jc w:val="both"/>
        <w:spacing w:before="100" w:after="100"/>
        <w:ind w:start="360"/>
        <w:ind w:firstLine="360"/>
      </w:pPr>
      <w:r>
        <w:rPr/>
      </w:r>
      <w:r>
        <w:rPr/>
      </w:r>
      <w:r>
        <w:t xml:space="preserve">If the line on which a partition fence is to be made or divided is the boundary between 2 or more towns, or partly in one town and partly in another, a fence viewer shall be taken from each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§2962. Fences on town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§2962. Fences on town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§2962. FENCES ON TOWN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