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Access to direct sunlight</w:t>
      </w:r>
    </w:p>
    <w:p>
      <w:pPr>
        <w:jc w:val="both"/>
        <w:spacing w:before="100" w:after="100"/>
        <w:ind w:start="360"/>
        <w:ind w:firstLine="360"/>
      </w:pPr>
      <w:r>
        <w:rPr/>
      </w:r>
      <w:r>
        <w:rPr/>
      </w:r>
      <w:r>
        <w:t xml:space="preserve">The municipal reviewing authority may, to protect and ensure access to direct sunlight for solar energy systems, prohibit, restrict or control development through subdivision regulations.  The regulations may call for subdivision development plans containing restrictive covenants, height restrictions, side yard and set-back requirements or other permissible forms of land use controls.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§4405. Access to direct sunlight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Access to direct sunlight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§4405. ACCESS TO DIRECT SUNLIGHT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