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within 15 days after the county budget has been prepared by the county commissioners.  The county commissioners shall provide the committee with necessary clerical assistance, office expenses and suitable meeting space, as well as access to county files and information.  The budget committee shall select its own chairman, vice-chairman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