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17102</w:t>
        <w:t xml:space="preserve">.  </w:t>
      </w:r>
      <w:r>
        <w:rPr>
          <w:b/>
        </w:rPr>
        <w:t xml:space="preserve">Individual license</w:t>
      </w:r>
    </w:p>
    <w:p>
      <w:pPr>
        <w:jc w:val="both"/>
        <w:spacing w:before="100" w:after="100"/>
        <w:ind w:start="360"/>
        <w:ind w:firstLine="360"/>
      </w:pPr>
      <w:r>
        <w:rPr/>
      </w:r>
      <w:r>
        <w:rPr/>
      </w:r>
      <w:r>
        <w:t xml:space="preserve">Only an individual may be licensed under this chapter and only a licensed individual may provide services for which a license is required under this chapter.</w:t>
      </w:r>
      <w:r>
        <w:t xml:space="preserve">  </w:t>
      </w:r>
      <w:r xmlns:wp="http://schemas.openxmlformats.org/drawingml/2010/wordprocessingDrawing" xmlns:w15="http://schemas.microsoft.com/office/word/2012/wordml">
        <w:rPr>
          <w:rFonts w:ascii="Arial" w:hAnsi="Arial" w:cs="Arial"/>
          <w:sz w:val="22"/>
          <w:szCs w:val="22"/>
        </w:rPr>
        <w:t xml:space="preserve">[PL 2007, c. 369, Pt. C, §3 (NEW); PL 2007, c. 369, Pt. C,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369, Pt. C, §3 (NEW). PL 2007, c. 369, Pt. C, §5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§17102. Individual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§17102. Individual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§17102. INDIVIDUAL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