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2292</w:t>
        <w:t xml:space="preserve">.  </w:t>
      </w:r>
      <w:r>
        <w:rPr>
          <w:b/>
        </w:rPr>
        <w:t xml:space="preserve">Active duty military personnel or military spouses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An active duty military member or the military member's spouse shall designate a home state where the individual has a current license in good standing.  The individual may retain the home state designation during the period the service member is on active duty.  Subsequent to designating a home state, the individual may change the individual's home state only through application for licensure in the new state or through the process described in </w:t>
      </w:r>
      <w:r>
        <w:t>section 2291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§2292. Active duty military personnel or military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§2292. Active duty military personnel or military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§2292. ACTIVE DUTY MILITARY PERSONNEL OR MILITARY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