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6217-B</w:t>
        <w:t xml:space="preserve">.  </w:t>
      </w:r>
      <w:r>
        <w:rPr>
          <w:b/>
        </w:rPr>
        <w:t xml:space="preserve">Denial or refusal to renew license; disciplinary action</w:t>
      </w:r>
    </w:p>
    <w:p>
      <w:pPr>
        <w:jc w:val="both"/>
        <w:spacing w:before="100" w:after="100"/>
        <w:ind w:start="360"/>
        <w:ind w:firstLine="360"/>
      </w:pPr>
      <w:r>
        <w:rPr/>
      </w:r>
      <w:r>
        <w:rPr/>
      </w:r>
      <w:r>
        <w:t xml:space="preserve">In addition to the grounds enumerated in </w:t>
      </w:r>
      <w:r>
        <w:t>Title 10, section 8003, subsection 5‑A, paragraph A</w:t>
      </w:r>
      <w:r>
        <w:t xml:space="preserve">, the board may deny a license, refuse to renew a license or impose the disciplinary sanctions authorized by </w:t>
      </w:r>
      <w:r>
        <w:t>Title 10, section 8003, subsection 5‑A</w:t>
      </w:r>
      <w:r>
        <w:t xml:space="preserve"> for:</w:t>
      </w:r>
      <w:r>
        <w:t xml:space="preserve">  </w:t>
      </w:r>
      <w:r xmlns:wp="http://schemas.openxmlformats.org/drawingml/2010/wordprocessingDrawing" xmlns:w15="http://schemas.microsoft.com/office/word/2012/wordml">
        <w:rPr>
          <w:rFonts w:ascii="Arial" w:hAnsi="Arial" w:cs="Arial"/>
          <w:sz w:val="22"/>
          <w:szCs w:val="22"/>
        </w:rPr>
        <w:t xml:space="preserve">[PL 2007, c. 402, Pt. U, §12 (NEW).]</w:t>
      </w:r>
    </w:p>
    <w:p>
      <w:pPr>
        <w:jc w:val="both"/>
        <w:spacing w:before="100" w:after="0"/>
        <w:ind w:start="360"/>
        <w:ind w:firstLine="360"/>
      </w:pPr>
      <w:r>
        <w:rPr>
          <w:b/>
        </w:rPr>
        <w:t>1</w:t>
        <w:t xml:space="preserve">.  </w:t>
      </w:r>
      <w:r>
        <w:rPr>
          <w:b/>
        </w:rPr>
        <w:t xml:space="preserve">Active use.</w:t>
        <w:t xml:space="preserve"> </w:t>
      </w:r>
      <w:r>
        <w:t xml:space="preserve"> </w:t>
      </w:r>
      <w:r>
        <w:t xml:space="preserve">Active use of alcohol or any other drug that in the judgment of the board is detrimental to the performance or competency of a licensee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§20 (AMD).]</w:t>
      </w:r>
    </w:p>
    <w:p>
      <w:pPr>
        <w:jc w:val="both"/>
        <w:spacing w:before="100" w:after="0"/>
        <w:ind w:start="360"/>
        <w:ind w:firstLine="360"/>
      </w:pPr>
      <w:r>
        <w:rPr>
          <w:b/>
        </w:rPr>
        <w:t>2</w:t>
        <w:t xml:space="preserve">.  </w:t>
      </w:r>
      <w:r>
        <w:rPr>
          <w:b/>
        </w:rPr>
        <w:t xml:space="preserve">Mental incompetency.</w:t>
        <w:t xml:space="preserve"> </w:t>
      </w:r>
      <w:r>
        <w:t xml:space="preserve"> </w:t>
      </w:r>
      <w:r>
        <w:t xml:space="preserve">A legal finding of mental incompetency;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§21 (AMD).]</w:t>
      </w:r>
    </w:p>
    <w:p>
      <w:pPr>
        <w:jc w:val="both"/>
        <w:spacing w:before="100" w:after="0"/>
        <w:ind w:start="360"/>
        <w:ind w:firstLine="360"/>
      </w:pPr>
      <w:r>
        <w:rPr>
          <w:b/>
        </w:rPr>
        <w:t>3</w:t>
        <w:t xml:space="preserve">.  </w:t>
      </w:r>
      <w:r>
        <w:rPr>
          <w:b/>
        </w:rPr>
        <w:t xml:space="preserve">Prohibited conduct.</w:t>
        <w:t xml:space="preserve"> </w:t>
      </w:r>
      <w:r>
        <w:t xml:space="preserve"> </w:t>
      </w:r>
      <w:r>
        <w:t xml:space="preserve">A violation of </w:t>
      </w:r>
      <w:r>
        <w:t>section 6223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U, §12 (NEW). PL 2007, c. 621, §9 (AMD). PL 2017, c. 407, Pt. A, §138 (AMD). PL 2019, c. 165, §§20-22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§6217-B. Denial or refusal to renew license;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§6217-B. Denial or refusal to renew license;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§6217-B. DENIAL OR REFUSAL TO RENEW LICENSE;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