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6763</w:t>
        <w:t xml:space="preserve">.  </w:t>
      </w:r>
      <w:r>
        <w:rPr>
          <w:b/>
        </w:rPr>
        <w:t xml:space="preserve">Termination</w:t>
      </w:r>
    </w:p>
    <w:p>
      <w:pPr>
        <w:jc w:val="both"/>
        <w:spacing w:before="100" w:after="100"/>
        <w:ind w:start="360"/>
        <w:ind w:firstLine="360"/>
      </w:pPr>
      <w:r>
        <w:rPr/>
      </w:r>
      <w:r>
        <w:rPr/>
      </w:r>
      <w:r>
        <w:t xml:space="preserve">The commissioner may not issue a certificate of approval for a business under this chapter after December 31, 2024. All employment tax increment financing benefits provided under this chapter are terminated on December 31, 2034.</w:t>
      </w:r>
      <w:r>
        <w:t xml:space="preserve">  </w:t>
      </w:r>
      <w:r xmlns:wp="http://schemas.openxmlformats.org/drawingml/2010/wordprocessingDrawing" xmlns:w15="http://schemas.microsoft.com/office/word/2012/wordml">
        <w:rPr>
          <w:rFonts w:ascii="Arial" w:hAnsi="Arial" w:cs="Arial"/>
          <w:sz w:val="22"/>
          <w:szCs w:val="22"/>
        </w:rPr>
        <w:t xml:space="preserve">[PL 2023, c. 412, Pt. J,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§6763.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§6763.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§6763.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