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959</w:t>
        <w:t xml:space="preserve">.  </w:t>
      </w:r>
      <w:r>
        <w:rPr>
          <w:b/>
        </w:rPr>
        <w:t xml:space="preserve">Maine Commission on Indigent Legal Services</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Maine Commission on Indigent Legal Services. Notwithstanding any other provision of law, these positions and their successor positions are subject to this chapter:</w:t>
      </w:r>
    </w:p>
    <w:p>
      <w:pPr>
        <w:jc w:val="both"/>
        <w:spacing w:before="100" w:after="0"/>
        <w:ind w:start="720"/>
      </w:pPr>
      <w:r>
        <w:rPr/>
        <w:t>A</w:t>
        <w:t xml:space="preserve">.  </w:t>
      </w:r>
      <w:r>
        <w:rPr/>
      </w:r>
      <w:r>
        <w:t xml:space="preserve">Executive director.</w:t>
      </w:r>
      <w:r>
        <w:t xml:space="preserve">  </w:t>
      </w:r>
      <w:r xmlns:wp="http://schemas.openxmlformats.org/drawingml/2010/wordprocessingDrawing" xmlns:w15="http://schemas.microsoft.com/office/word/2012/wordml">
        <w:rPr>
          <w:rFonts w:ascii="Arial" w:hAnsi="Arial" w:cs="Arial"/>
          <w:sz w:val="22"/>
          <w:szCs w:val="22"/>
        </w:rPr>
        <w:t xml:space="preserve">[PL 2009, c. 419,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§959. Maine Commission on Indigent Legal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§959. Maine Commission on Indigent Legal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§959. MAINE COMMISSION ON INDIGENT LEGAL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