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2005, c. 457, §GGG2 (AMD). PL 2011, c. 610, Pt. A, §1 (RP). PL 2011, c. 649,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