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w:t>
        <w:t xml:space="preserve">.  </w:t>
      </w:r>
      <w:r>
        <w:rPr>
          <w:b/>
        </w:rPr>
        <w:t xml:space="preserve">Publicity</w:t>
      </w:r>
    </w:p>
    <w:p>
      <w:pPr>
        <w:jc w:val="both"/>
        <w:spacing w:before="100" w:after="100"/>
        <w:ind w:start="360"/>
        <w:ind w:firstLine="360"/>
      </w:pPr>
      <w:r>
        <w:rPr/>
      </w:r>
      <w:r>
        <w:rPr/>
      </w:r>
      <w:r>
        <w:t xml:space="preserve">Upon the establishment of the grades or standards, brands, labels or trademarks, the commissioner shall give due publicity through the newspapers of the State, setting forth the grade or grades so established and the date on which such establishment is to become effective, and distribute information explaining the same and their 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 Publicity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 Publicity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§444. PUBLICITY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