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278</w:t>
        <w:t xml:space="preserve">.  </w:t>
      </w:r>
      <w:r>
        <w:rPr>
          <w:b/>
        </w:rPr>
        <w:t xml:space="preserve">Minors</w:t>
      </w:r>
    </w:p>
    <w:p>
      <w:pPr>
        <w:jc w:val="both"/>
        <w:spacing w:before="100" w:after="100"/>
        <w:ind w:start="360"/>
        <w:ind w:firstLine="360"/>
      </w:pPr>
      <w:r>
        <w:rPr/>
      </w:r>
      <w:r>
        <w:rPr/>
      </w:r>
      <w:r>
        <w:t xml:space="preserve">A minor, whether attending a race or employed in any manner on or about a racetrack, may not be permitted to participate in any pari-mutuel pool or be admitted to any pari-mutuel sales area.</w:t>
      </w:r>
      <w:r>
        <w:t xml:space="preserve">  </w:t>
      </w:r>
      <w:r xmlns:wp="http://schemas.openxmlformats.org/drawingml/2010/wordprocessingDrawing" xmlns:w15="http://schemas.microsoft.com/office/word/2012/wordml">
        <w:rPr>
          <w:rFonts w:ascii="Arial" w:hAnsi="Arial" w:cs="Arial"/>
          <w:sz w:val="22"/>
          <w:szCs w:val="22"/>
        </w:rPr>
        <w:t xml:space="preserve">[PL 2023, c. 51,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§278.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§278.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§278.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