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11-120</w:t>
        <w:t xml:space="preserve">.  </w:t>
      </w:r>
      <w:r>
        <w:rPr>
          <w:b/>
        </w:rPr>
        <w:t xml:space="preserve">Enforcement; penalties</w:t>
      </w:r>
    </w:p>
    <w:p>
      <w:pPr>
        <w:jc w:val="both"/>
        <w:spacing w:before="100" w:after="100"/>
        <w:ind w:start="360"/>
        <w:ind w:firstLine="360"/>
      </w:pPr>
      <w:r>
        <w:rPr/>
      </w:r>
      <w:r>
        <w:rPr/>
      </w:r>
      <w:r>
        <w:t xml:space="preserve">A merchant who violates this Article or any rule issued by the administrator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After notice and hearing, a cease and desist order and order of restitution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civil action, by the administrator through the Attorney General, after which a court, upon a finding of repeated or willful violations or of violation of an assurance of discontinuance, may assess a civil penalty of not more than $5,000;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civil action by an aggrieved consumer in which the consumer may recover actual damages or $250, whichever is greater, plus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§11-120.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§11-120.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§11-120.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