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1026-R</w:t>
        <w:t xml:space="preserve">.  </w:t>
      </w:r>
      <w:r>
        <w:rPr>
          <w:b/>
        </w:rPr>
        <w:t xml:space="preserve">Mortgage insurance for waste oil disposal site clean-up projects</w:t>
      </w:r>
    </w:p>
    <w:p>
      <w:pPr>
        <w:jc w:val="both"/>
        <w:spacing w:before="100" w:after="100"/>
        <w:ind w:start="360"/>
      </w:pPr>
      <w:r>
        <w:rPr>
          <w:b/>
        </w:rPr>
        <w:t>(REPEALED)</w:t>
      </w:r>
    </w:p>
    <w:p>
      <w:pPr>
        <w:jc w:val="both"/>
        <w:spacing w:before="100" w:after="100"/>
        <w:ind w:start="360"/>
      </w:pPr>
      <w:r>
        <w:rPr>
          <w:b/>
        </w:rPr>
        <w:t>(REALLOCATED FROM TITLE 10, SECTION 1026-Q)</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§14 (RAL). PL 2003, c. 537, §41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§1026-R. Mortgage insurance for waste oil disposal site clean-up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§1026-R. Mortgage insurance for waste oil disposal site clean-up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§1026-R. MORTGAGE INSURANCE FOR WASTE OIL DISPOSAL SITE CLEAN-UP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