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Transfer between banks</w:t>
      </w:r>
    </w:p>
    <w:p>
      <w:pPr>
        <w:jc w:val="both"/>
        <w:spacing w:before="100" w:after="100"/>
        <w:ind w:start="360"/>
        <w:ind w:firstLine="360"/>
      </w:pPr>
      <w:r>
        <w:rPr/>
      </w:r>
      <w:r>
        <w:rPr/>
      </w:r>
      <w:r>
        <w:t xml:space="preserve">Any agreed method that identifies the transferor bank is sufficient for the item's further transfer to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§4-206. Transfer between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Transfer between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§4-206. TRANSFER BETWEEN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