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2239</w:t>
        <w:t xml:space="preserve">.  </w:t>
      </w:r>
      <w:r>
        <w:rPr>
          <w:b/>
        </w:rPr>
        <w:t xml:space="preserve">Facilities; use; proceeds</w:t>
      </w:r>
    </w:p>
    <w:p>
      <w:pPr>
        <w:jc w:val="both"/>
        <w:spacing w:before="100" w:after="100"/>
        <w:ind w:start="360"/>
        <w:ind w:firstLine="360"/>
      </w:pPr>
      <w:r>
        <w:rPr/>
      </w:r>
      <w:r>
        <w:rPr/>
      </w:r>
      <w:r>
        <w:t xml:space="preserve">An association may use or employ any of its facilities for any purpose; provided the proceeds arising from such use and employment go to reduce the cost of operation for its members; but the fishery products of nonmembers shall not be dealt in to an amount greater in value than such as are handled by it for its members.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§2239. Facilities; use;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§2239. Facilities; use;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§2239. FACILITIES; USE;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