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w:t>
        <w:t xml:space="preserve">.  </w:t>
      </w:r>
      <w:r>
        <w:rPr>
          <w:b/>
        </w:rPr>
        <w:t xml:space="preserve">Social and business invitees, standards of care</w:t>
      </w:r>
    </w:p>
    <w:p>
      <w:pPr>
        <w:jc w:val="both"/>
        <w:spacing w:before="100" w:after="100"/>
        <w:ind w:start="360"/>
        <w:ind w:firstLine="360"/>
      </w:pPr>
      <w:r>
        <w:rPr/>
      </w:r>
      <w:r>
        <w:rPr/>
      </w:r>
      <w:r>
        <w:t xml:space="preserve">The standards of care for a social invitee shall be the same as that of a business invitee.</w:t>
      </w:r>
      <w:r>
        <w:t xml:space="preserve">  </w:t>
      </w:r>
      <w:r xmlns:wp="http://schemas.openxmlformats.org/drawingml/2010/wordprocessingDrawing" xmlns:w15="http://schemas.microsoft.com/office/word/2012/wordml">
        <w:rPr>
          <w:rFonts w:ascii="Arial" w:hAnsi="Arial" w:cs="Arial"/>
          <w:sz w:val="22"/>
          <w:szCs w:val="22"/>
        </w:rPr>
        <w:t xml:space="preserve">[PL 1967, c. 366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366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 Social and business invitees, standards of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 Social and business invitees, standards of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§159. SOCIAL AND BUSINESS INVITEES, STANDARDS OF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