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2611</w:t>
        <w:t xml:space="preserve">.  </w:t>
      </w:r>
      <w:r>
        <w:rPr>
          <w:b/>
        </w:rPr>
        <w:t xml:space="preserve">Discharge of trustees; effect on principal</w:t>
      </w:r>
    </w:p>
    <w:p>
      <w:pPr>
        <w:jc w:val="both"/>
        <w:spacing w:before="100" w:after="100"/>
        <w:ind w:start="360"/>
        <w:ind w:firstLine="360"/>
      </w:pPr>
      <w:r>
        <w:rPr/>
      </w:r>
      <w:r>
        <w:rPr/>
      </w:r>
      <w:r>
        <w:t xml:space="preserve">If all the persons summoned as trustees are discharged or the action against them is discontinued, the plaintiff shall not proceed against the principal defendant unless there was sufficient personal service of the summons on him; but he may assume the defense of the action.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§2611. Discharge of trustees; effect on principal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§2611. Discharge of trustees; effect on principal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§2611. DISCHARGE OF TRUSTEES; EFFECT ON PRINCIPAL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