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w:t>
        <w:t xml:space="preserve">.  </w:t>
      </w:r>
      <w:r>
        <w:rPr>
          <w:b/>
        </w:rPr>
        <w:t xml:space="preserve">Application</w:t>
      </w:r>
    </w:p>
    <w:p>
      <w:pPr>
        <w:jc w:val="both"/>
        <w:spacing w:before="100" w:after="100"/>
        <w:ind w:start="360"/>
        <w:ind w:firstLine="360"/>
      </w:pPr>
      <w:r>
        <w:rPr/>
      </w:r>
      <w:r>
        <w:rPr/>
      </w:r>
      <w:r>
        <w:t xml:space="preserve">This chapter applies to a record that is or contains intelligence and investigative record information and that is collected by or prepared at the direction of or kept in the custody of any Maine criminal justice agency.</w:t>
      </w:r>
      <w:r>
        <w:t xml:space="preserve">  </w:t>
      </w:r>
      <w:r xmlns:wp="http://schemas.openxmlformats.org/drawingml/2010/wordprocessingDrawing" xmlns:w15="http://schemas.microsoft.com/office/word/2012/wordml">
        <w:rPr>
          <w:rFonts w:ascii="Arial" w:hAnsi="Arial" w:cs="Arial"/>
          <w:sz w:val="22"/>
          <w:szCs w:val="22"/>
        </w:rPr>
        <w:t xml:space="preserve">[PL 2013, c. 267,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§802.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§802.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