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Unlawful transfer of Salvia divinorum to a minor</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transfer Salvia divinorum to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$50 and not more than $1,500, plus court costs, must be adjudged for any one offense.  The fine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prosecution for a violation of </w:t>
      </w:r>
      <w:r>
        <w:t>subsection 1</w:t>
      </w:r>
      <w:r>
        <w:t xml:space="preserve"> that the person transferred Salvia divinorum to a minor in reasonable reliance upon a fraudulent proof of age presented by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Unlawful transfer of Salvia divinorum to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Unlawful transfer of Salvia divinorum to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§2012. UNLAWFUL TRANSFER OF SALVIA DIVINORUM TO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