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Damages for breach of trust</w:t>
      </w:r>
    </w:p>
    <w:p>
      <w:pPr>
        <w:jc w:val="both"/>
        <w:spacing w:before="100" w:after="100"/>
        <w:ind w:start="360"/>
        <w:ind w:firstLine="360"/>
      </w:pPr>
      <w:r>
        <w:rPr>
          <w:b/>
        </w:rPr>
        <w:t>1</w:t>
        <w:t xml:space="preserve">.  </w:t>
      </w:r>
      <w:r>
        <w:rPr>
          <w:b/>
        </w:rPr>
        <w:t xml:space="preserve">Damages.</w:t>
        <w:t xml:space="preserve"> </w:t>
      </w:r>
      <w:r>
        <w:t xml:space="preserve"> </w:t>
      </w:r>
      <w:r>
        <w:t xml:space="preserve">A trustee who commits a breach of trust is liable to the beneficiaries affected for the greater of:</w:t>
      </w:r>
    </w:p>
    <w:p>
      <w:pPr>
        <w:jc w:val="both"/>
        <w:spacing w:before="100" w:after="0"/>
        <w:ind w:start="720"/>
      </w:pPr>
      <w:r>
        <w:rPr/>
        <w:t>A</w:t>
        <w:t xml:space="preserve">.  </w:t>
      </w:r>
      <w:r>
        <w:rPr/>
      </w:r>
      <w:r>
        <w:t xml:space="preserve">The amount required to restore the value of the trust property and trust distributions to what they would have been had the breach not occurred;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profit the trustee made by reason of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Contribution from other trustees.</w:t>
        <w:t xml:space="preserve"> </w:t>
      </w:r>
      <w:r>
        <w:t xml:space="preserve"> </w:t>
      </w:r>
      <w:r>
        <w:t xml:space="preserve">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Damages for breach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Damages for breach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§1002. DAMAGES FOR BREACH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