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12107</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The Commissioner of Health and Human Services shall develop rules for determining health professional shortage areas for the practice of primary health care medicine and dentistry, for determining the reasonableness of the service provided by loan recipients to Medicaid and Medicare patients and participation by loan recipients in public health clinics, for determining underserved groups and for determining underserved specialties.  The Commissioner of Agriculture, Conservation and Forestry shall develop rules for the determination of insufficient veterinary services.  The rules authorized by this section must be adopted in accordance with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 PL 2003, c. 689, Pt. B, §7 (REV);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§B7 (REV).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§12107.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