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12573</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a tuition waiver under this chapter may apply to the authority for determination of eligibility.  Application must be on forms and in a manner prescribed by rule of the authority.  Rules adopted pursuant to this chapter are routine technical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person for a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3</w:t>
        <w:t xml:space="preserve">.  </w:t>
      </w:r>
      <w:r>
        <w:rPr>
          <w:b/>
        </w:rPr>
        <w:t xml:space="preserve">Limitation.</w:t>
        <w:t xml:space="preserve"> </w:t>
      </w:r>
      <w:r>
        <w:t xml:space="preserve"> </w:t>
      </w:r>
      <w:r>
        <w:t xml:space="preserve">Tuition waivers to eligible persons are limited to 30 new students per year in each year at state postsecondary educational institutions as follows:</w:t>
      </w:r>
    </w:p>
    <w:p>
      <w:pPr>
        <w:jc w:val="both"/>
        <w:spacing w:before="100" w:after="0"/>
        <w:ind w:start="720"/>
      </w:pPr>
      <w:r>
        <w:rPr/>
        <w:t>A</w:t>
        <w:t xml:space="preserve">.  </w:t>
      </w:r>
      <w:r>
        <w:rPr/>
      </w:r>
      <w:r>
        <w:t xml:space="preserve">The first 25 tuition waivers must be available to eligible persons at the University of Maine System, the Maine Maritime Academy and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w:pPr>
        <w:jc w:val="both"/>
        <w:spacing w:before="100" w:after="0"/>
        <w:ind w:start="720"/>
      </w:pPr>
      <w:r>
        <w:rPr/>
        <w:t>B</w:t>
        <w:t xml:space="preserve">.  </w:t>
      </w:r>
      <w:r>
        <w:rPr/>
      </w:r>
      <w:r>
        <w:t xml:space="preserve">Of the 5 remaining tuition waivers, 3 must be available to eligible persons at the University of Maine System and 2 must be available to eligible persons at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§4 (AMD). PL 2003,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§12573.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§12573.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