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2668</w:t>
        <w:t xml:space="preserve">.  </w:t>
      </w:r>
      <w:r>
        <w:rPr>
          <w:b/>
        </w:rPr>
        <w:t xml:space="preserve">Closure</w:t>
      </w:r>
    </w:p>
    <w:p>
      <w:pPr>
        <w:jc w:val="both"/>
        <w:spacing w:before="100" w:after="100"/>
        <w:ind w:start="360"/>
        <w:ind w:firstLine="360"/>
      </w:pPr>
      <w:r>
        <w:rPr/>
      </w:r>
      <w:r>
        <w:rPr/>
      </w:r>
      <w:r>
        <w:t xml:space="preserve">The department may close any public pool or spa for failure to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Before closing a public pool or spa, the department shall issue a notice in writing enumerating instances of failure to comply with the law or rules.  The owner must have an opportunity to request a fair hearing before the department pursuant to </w:t>
      </w:r>
      <w:r>
        <w:t>Title 5, sections 9052</w:t>
      </w:r>
      <w:r>
        <w:t xml:space="preserve"> to </w:t>
      </w:r>
      <w:r>
        <w:t>9064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Closed public pools and spas must be reopened upon presentation of evidence that the deficiencies causing the closing have been corrected.</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§2668.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§2668.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§2668.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