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department pursuant to </w:t>
      </w:r>
      <w:r>
        <w:t>subchapter 2</w:t>
      </w:r>
      <w:r>
        <w:t xml:space="preserve"> and the rules relating to licensure of a cultivation facility adopted pursuant to this chapter, an applicant for a cultivation facility license shall submit to the department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Additional information required for application for cultivation facility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Additional information required for application for cultivation facility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§302. ADDITIONAL INFORMATION REQUIRED FOR APPLICATION FOR CULTIVATION FACILITY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