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Acceptance of state and federal grants</w:t>
      </w:r>
    </w:p>
    <w:p>
      <w:pPr>
        <w:jc w:val="both"/>
        <w:spacing w:before="100" w:after="100"/>
        <w:ind w:start="360"/>
        <w:ind w:firstLine="360"/>
      </w:pPr>
      <w:r>
        <w:rPr/>
      </w:r>
      <w:r>
        <w:rPr/>
      </w:r>
      <w:r>
        <w:t xml:space="preserve">A county may accept and expend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Counties may apply for and accept and expend Federal Government grants for any purpose for which Federal Government grants are available to counties,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Counties may apply for and accept and expend state grants for any purpose for which state grants are available to counties,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is not intended to increase, expand or broaden the powers of the counties or to apply to the general revenue sharing funds of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Acceptance of state and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Acceptance of state and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§703. ACCEPTANCE OF STATE AND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