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6123</w:t>
        <w:t xml:space="preserve">.  </w:t>
      </w:r>
      <w:r>
        <w:rPr>
          <w:b/>
        </w:rPr>
        <w:t xml:space="preserve">Enforcement</w:t>
      </w:r>
    </w:p>
    <w:p>
      <w:pPr>
        <w:jc w:val="both"/>
        <w:spacing w:before="100" w:after="0"/>
        <w:ind w:start="360"/>
        <w:ind w:firstLine="360"/>
      </w:pPr>
      <w:r>
        <w:rPr>
          <w:b/>
        </w:rPr>
        <w:t>1</w:t>
        <w:t xml:space="preserve">.  </w:t>
      </w:r>
      <w:r>
        <w:rPr>
          <w:b/>
        </w:rPr>
        <w:t xml:space="preserve">Court order.</w:t>
        <w:t xml:space="preserve"> </w:t>
      </w:r>
      <w:r>
        <w:t xml:space="preserve"> </w:t>
      </w:r>
      <w:r>
        <w:t xml:space="preserve">If it appears to the administrator that any person has committed or is about to commit a violation of any provision of this subchapter or of any rule or order of the administrator, the administrator may, after notice and hearing, issue a cease and desist order, and may apply to the Superior Court or District Court for an order enjoining that person from violating or continuing to violate this subchapter or any rule or order and for injunctive or such other relief as the nature of the case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 PL 1999, c. 547, Pt. B, §78 (AMD); PL 1999, c. 547, Pt. B, §80 (AFF).]</w:t>
      </w:r>
    </w:p>
    <w:p>
      <w:pPr>
        <w:jc w:val="both"/>
        <w:spacing w:before="100" w:after="0"/>
        <w:ind w:start="360"/>
        <w:ind w:firstLine="360"/>
      </w:pPr>
      <w:r>
        <w:rPr>
          <w:b/>
        </w:rPr>
        <w:t>2</w:t>
        <w:t xml:space="preserve">.  </w:t>
      </w:r>
      <w:r>
        <w:rPr>
          <w:b/>
        </w:rPr>
        <w:t xml:space="preserve">Consent agreements.</w:t>
        <w:t xml:space="preserve"> </w:t>
      </w:r>
      <w:r>
        <w:t xml:space="preserve"> </w:t>
      </w:r>
      <w:r>
        <w:t xml:space="preserve">The administrator may enter into consent orders at any time with any person to resolve any matter arising under this subchapter.  A consent order must be signed by the person to whom it is issued or a duly authorized representative, and must indicate agreement to the terms contained in the order.  A consent order is not required to constitute an admission by any person that any provision of this subchapter, or any rule or order issued under this subchapter has been violated, and is not required to constitute a finding by the administrator that the person has violated any provision of this subchapter or any rule or order or issued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Civil or criminal penalties.</w:t>
        <w:t xml:space="preserve"> </w:t>
      </w:r>
      <w:r>
        <w:t xml:space="preserve"> </w:t>
      </w:r>
      <w:r>
        <w:t xml:space="preserve">Notwithstanding the issuance of a consent order, the administrator may seek civil or criminal penalties or compromise civil penalties concerning matters encompassed by the consent order, unless the consent order by its terms expressly precludes the administrator from doing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§6123.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§6123.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§6123.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