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Scope</w:t>
      </w:r>
    </w:p>
    <w:p>
      <w:pPr>
        <w:jc w:val="both"/>
        <w:spacing w:before="100" w:after="100"/>
        <w:ind w:start="360"/>
        <w:ind w:firstLine="360"/>
      </w:pPr>
      <w:r>
        <w:rPr/>
      </w:r>
      <w:r>
        <w:rPr/>
      </w:r>
      <w:r>
        <w:t xml:space="preserve">This chapter applies only to federal tax liens and to other federal lien notices that under any Act of Congress or any federal regulation adopted pursuant to any Act of Congress are required or permitted to be filed in the same manner as notices of federal tax liens.</w:t>
      </w:r>
      <w:r>
        <w:t xml:space="preserve">  </w:t>
      </w:r>
      <w:r xmlns:wp="http://schemas.openxmlformats.org/drawingml/2010/wordprocessingDrawing" xmlns:w15="http://schemas.microsoft.com/office/word/2012/wordml">
        <w:rPr>
          <w:rFonts w:ascii="Arial" w:hAnsi="Arial" w:cs="Arial"/>
          <w:sz w:val="22"/>
          <w:szCs w:val="22"/>
        </w:rPr>
        <w:t xml:space="preserve">[PL 2003, c. 518,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2003, c. 518,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§1902.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