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6511</w:t>
        <w:t xml:space="preserve">.  </w:t>
      </w:r>
      <w:r>
        <w:rPr>
          <w:b/>
        </w:rPr>
        <w:t xml:space="preserve">Failure to apply for assessment not a waiver</w:t>
      </w:r>
    </w:p>
    <w:p>
      <w:pPr>
        <w:jc w:val="both"/>
        <w:spacing w:before="100" w:after="100"/>
        <w:ind w:start="360"/>
        <w:ind w:firstLine="360"/>
      </w:pPr>
      <w:r>
        <w:rPr/>
      </w:r>
      <w:r>
        <w:rPr/>
      </w:r>
      <w:r>
        <w:t xml:space="preserve">The property owner's failure to apply for the assessment of damages within 3 years may not be held to be a waiver by the property owner of compensation for property taken by eminent domain.</w:t>
      </w:r>
      <w:r>
        <w:t xml:space="preserve">  </w:t>
      </w:r>
      <w:r xmlns:wp="http://schemas.openxmlformats.org/drawingml/2010/wordprocessingDrawing" xmlns:w15="http://schemas.microsoft.com/office/word/2012/wordml">
        <w:rPr>
          <w:rFonts w:ascii="Arial" w:hAnsi="Arial" w:cs="Arial"/>
          <w:sz w:val="22"/>
          <w:szCs w:val="22"/>
        </w:rPr>
        <w:t xml:space="preserve">[RR 2021, c. 1, Pt. B, §432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§6511. Failure to apply for assessment not a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§6511. Failure to apply for assessment not a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§6511. FAILURE TO APPLY FOR ASSESSMENT NOT A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