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9408</w:t>
        <w:t xml:space="preserve">.  </w:t>
      </w:r>
      <w:r>
        <w:rPr>
          <w:b/>
        </w:rPr>
        <w:t xml:space="preserve">Collection of data</w:t>
      </w:r>
    </w:p>
    <w:p>
      <w:pPr>
        <w:jc w:val="both"/>
        <w:spacing w:before="100" w:after="100"/>
        <w:ind w:start="360"/>
        <w:ind w:firstLine="360"/>
      </w:pPr>
      <w:r>
        <w:rPr/>
      </w:r>
      <w:r>
        <w:rPr/>
      </w:r>
      <w:r>
        <w:t xml:space="preserve">Subject to the provisions of this section, the authority may collect data from communications service providers and any wireless providers that own or operate advanced communications technology infrastructure in the State concerning infrastructure deployment and costs, revenues and subscribership.</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If the authority, on its own or upon request of any person or entity, determines that public access to specific information about communications service providers or wireless providers in the State could compromise the security of public utility systems to the detriment of the public interest or that specific information is of a competitive or proprietary nature, the authority shall issue an order that sets forth its designation of the information as confidential.  Information that may be designated as confidential pursuant to this subsection includes, but is not limited to, network diagrams.  The authority may designate information as confidential under this subsection only to the minimum extent necessary to protect the public interest and the legitimate competitive or proprietary interests of a communications service provider or a wireless provider.  The authority may not designate any information as confidential under this subsection until it has adopted rules to implement this subsection.</w:t>
      </w:r>
    </w:p>
    <w:p>
      <w:pPr>
        <w:jc w:val="both"/>
        <w:spacing w:before="100" w:after="0"/>
        <w:ind w:start="360"/>
      </w:pPr>
      <w:r>
        <w:rPr/>
      </w:r>
      <w:r>
        <w:rPr/>
      </w:r>
      <w:r>
        <w:t xml:space="preserve">Information designated as confidential under this subsection is not a public record under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Protection of information.</w:t>
        <w:t xml:space="preserve"> </w:t>
      </w:r>
      <w:r>
        <w:t xml:space="preserve"> </w:t>
      </w:r>
      <w:r>
        <w:t xml:space="preserve">A communications service provider or a wireless provider may request that information provided to the authority that the provider requests be designated as confidential under </w:t>
      </w:r>
      <w:r>
        <w:t>subsection 1</w:t>
      </w:r>
      <w:r>
        <w:t xml:space="preserve"> not be viewed by those members of the authority who could gain a competitive advantage from viewing the information.  Upon such a request, the authority shall ensure that the information provided is viewed only by those members of the authority and staff who do not stand to gain a competitive advantage and that there are adequate safeguards to protect that information from members of the authority who could gain a competitive advantage from viewing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§9408. Collection of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§9408. Collection of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§9408. COLLECTION OF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