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4641-J</w:t>
        <w:t xml:space="preserve">.  </w:t>
      </w:r>
      <w:r>
        <w:rPr>
          <w:b/>
        </w:rPr>
        <w:t xml:space="preserve">Recording without tax</w:t>
      </w:r>
    </w:p>
    <w:p>
      <w:pPr>
        <w:jc w:val="both"/>
        <w:spacing w:before="100" w:after="100"/>
        <w:ind w:start="360"/>
        <w:ind w:firstLine="360"/>
      </w:pPr>
      <w:r>
        <w:rPr/>
      </w:r>
      <w:r>
        <w:rPr/>
      </w:r>
      <w:r>
        <w:t xml:space="preserve">Any register of deeds who, upon recording any deed or receiving a report of a transfer of a controlling interest upon which a tax is imposed by this chapter, fails to collect that tax or to obtain the declaration of value required by this chapter and does so with the intent of defeating the purposes of this chapter commits a civil violation for which a forfeiture not to exceed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559, Pt. I, §12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§293 (RPR). PL 2001, c. 559, §I12 (AMD). PL 2001, c. 559, §I15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§4641-J. Recording without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§4641-J. Recording without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§4641-J. RECORDING WITHOUT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