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1610-P</w:t>
        <w:t xml:space="preserve">.  </w:t>
      </w:r>
      <w:r>
        <w:rPr>
          <w:b/>
        </w:rPr>
        <w:t xml:space="preserve">Additional securities for capital repairs, improvements and construction and hazardous waste cleanup</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$71,050,000 outstanding at any one time for capital repairs and improvements to and construction of state-owned facilities and hazardous waste cleanup on state-owned properties.</w:t>
      </w:r>
      <w:r>
        <w:t xml:space="preserve">  </w:t>
      </w:r>
      <w:r xmlns:wp="http://schemas.openxmlformats.org/drawingml/2010/wordprocessingDrawing" xmlns:w15="http://schemas.microsoft.com/office/word/2012/wordml">
        <w:rPr>
          <w:rFonts w:ascii="Arial" w:hAnsi="Arial" w:cs="Arial"/>
          <w:sz w:val="22"/>
          <w:szCs w:val="22"/>
        </w:rPr>
        <w:t xml:space="preserve">[PL 2023, c. 412, Pt. 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F,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§1610-P. Additional securities for capital repairs, improvements and construction and hazardous waste cleanup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§1610-P. Additional securities for capital repairs, improvements and construction and hazardous waste cleanup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§1610-P. ADDITIONAL SECURITIES FOR CAPITAL REPAIRS, IMPROVEMENTS AND CONSTRUCTION AND HAZARDOUS WASTE CLEANUP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