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Improve Safety for Individuals Living in Recovery Residences</w:t>
      </w:r>
    </w:p>
    <w:p w:rsidR="004054A1" w:rsidP="004054A1">
      <w:pPr>
        <w:ind w:left="360"/>
        <w:rPr>
          <w:rFonts w:ascii="Arial" w:eastAsia="Arial" w:hAnsi="Arial" w:cs="Arial"/>
        </w:rPr>
      </w:pPr>
      <w:bookmarkStart w:id="0" w:name="_ENACTING_CLAUSE__9e86d58e_3866_4c92_bd5"/>
      <w:bookmarkStart w:id="1" w:name="_DOC_BODY__d69bbad4_dc9d_4371_bd04_8b8a3"/>
      <w:bookmarkStart w:id="2" w:name="_DOC_BODY_CONTAINER__1185e966_c753_4860_"/>
      <w:bookmarkStart w:id="3" w:name="_PAGE__1_36c1d762_90ed_43a5_bb63_d16caa8"/>
      <w:bookmarkStart w:id="4" w:name="_PAR__1_5b9ec25c_7500_4ac2_8b67_2afe201f"/>
      <w:r>
        <w:rPr>
          <w:rFonts w:ascii="Arial" w:eastAsia="Arial" w:hAnsi="Arial" w:cs="Arial"/>
          <w:b/>
        </w:rPr>
        <w:t>Be it enacted by the People of the State of Maine as follows:</w:t>
      </w:r>
    </w:p>
    <w:p w:rsidR="004054A1" w:rsidP="004054A1">
      <w:pPr>
        <w:ind w:left="360" w:firstLine="360"/>
        <w:rPr>
          <w:rFonts w:ascii="Arial" w:eastAsia="Arial" w:hAnsi="Arial" w:cs="Arial"/>
        </w:rPr>
      </w:pPr>
      <w:bookmarkStart w:id="5" w:name="_BILL_SECTION_HEADER__a67f7c9a_5278_40e9"/>
      <w:bookmarkStart w:id="6" w:name="_BILL_SECTION__4f64af90_db1a_433f_a71f_b"/>
      <w:bookmarkStart w:id="7" w:name="_DOC_BODY_CONTENT__89aa5377_4a92_4d09_a0"/>
      <w:bookmarkStart w:id="8" w:name="_PAR__2_5ca7af37_a69e_4b3d_9409_776f8c4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9" w:name="_BILL_SECTION_NUMBER__e6dddbf7_5e29_40c9"/>
      <w:r>
        <w:rPr>
          <w:rFonts w:ascii="Arial" w:eastAsia="Arial" w:hAnsi="Arial" w:cs="Arial"/>
          <w:b/>
          <w:sz w:val="24"/>
        </w:rPr>
        <w:t>1</w:t>
      </w:r>
      <w:bookmarkEnd w:id="9"/>
      <w:r>
        <w:rPr>
          <w:rFonts w:ascii="Arial" w:eastAsia="Arial" w:hAnsi="Arial" w:cs="Arial"/>
          <w:b/>
          <w:sz w:val="24"/>
        </w:rPr>
        <w:t>.  25 MRSA §2452, sub-§4,</w:t>
      </w:r>
      <w:r>
        <w:rPr>
          <w:rFonts w:ascii="Arial" w:eastAsia="Arial" w:hAnsi="Arial" w:cs="Arial"/>
        </w:rPr>
        <w:t xml:space="preserve"> as enacted by PL 2019, c. 358, §1, is repealed.</w:t>
      </w:r>
    </w:p>
    <w:p w:rsidR="004054A1" w:rsidP="004054A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50502b72_cbbe_4f8e_8b64_891b2e"/>
      <w:bookmarkStart w:id="11" w:name="_PAR__3_fa99b81b_6aad_42fe_993d_7b26da66"/>
      <w:bookmarkEnd w:id="5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</w:p>
    <w:p w:rsidR="004054A1" w:rsidP="004054A1">
      <w:pPr>
        <w:ind w:left="360" w:firstLine="360"/>
        <w:rPr>
          <w:rFonts w:ascii="Arial" w:eastAsia="Arial" w:hAnsi="Arial" w:cs="Arial"/>
        </w:rPr>
      </w:pPr>
      <w:bookmarkStart w:id="12" w:name="_PAR__4_339869fc_bc76_4c97_9996_b4270f9f"/>
      <w:bookmarkEnd w:id="11"/>
      <w:r>
        <w:rPr>
          <w:rFonts w:ascii="Arial" w:eastAsia="Arial" w:hAnsi="Arial" w:cs="Arial"/>
        </w:rPr>
        <w:t>Current law provides that a certified substance use disorder recovery residence is treated as a family residence for the purposes of life safety code requirements, regardless of its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size, layout or number of residents.  This bill repeals that provision to require such recovery residences to meet the life safety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code requirements for similarly situated buildings and housing establishments.</w:t>
      </w:r>
    </w:p>
    <w:bookmarkEnd w:id="1"/>
    <w:bookmarkEnd w:id="2"/>
    <w:bookmarkEnd w:id="3"/>
    <w:bookmarkEnd w:id="10"/>
    <w:bookmarkEnd w:id="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LR0348,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Improve Safety for Individuals Living in Recovery Residences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054A1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135737</ItemId>
    <LRId>70113</LRId>
    <LRNumber>348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Improve Safety for Individuals Living in Recovery Residences</LRTitle>
    <ItemTitle>An Act to Improve Safety for Individuals Living in Recovery Residences</ItemTitle>
    <ShortTitle1>IMPROVE SAFETY FOR INDIVIDUALS</ShortTitle1>
    <ShortTitle2>LIVING IN RECOVERY RESIDENCES</ShortTitle2>
    <SponsorFirstName>Scott</SponsorFirstName>
    <SponsorLastName>Landry</SponsorLastName>
    <SponsorChamberPrefix>Rep.</SponsorChamberPrefix>
    <SponsorFrom>Farmington</SponsorFrom>
    <DraftingCycleCount>1</DraftingCycleCount>
    <LatestDraftingActionId>130</LatestDraftingActionId>
    <LatestDraftingActionDate>2022-12-29T10:21:53</LatestDraftingActionDate>
    <LatestDrafterName>JGreene</LatestDrafterName>
    <LatestProoferName>abachelder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w:rsidR="004054A1" w:rsidRDefault="004054A1" w:rsidP="004054A1"&amp;gt;&amp;lt;w:pPr&amp;gt;&amp;lt;w:ind w:left="360" /&amp;gt;&amp;lt;/w:pPr&amp;gt;&amp;lt;w:bookmarkStart w:id="0" w:name="_ENACTING_CLAUSE__9e86d58e_3866_4c92_bd5" /&amp;gt;&amp;lt;w:bookmarkStart w:id="1" w:name="_DOC_BODY__d69bbad4_dc9d_4371_bd04_8b8a3" /&amp;gt;&amp;lt;w:bookmarkStart w:id="2" w:name="_DOC_BODY_CONTAINER__1185e966_c753_4860_" /&amp;gt;&amp;lt;w:bookmarkStart w:id="3" w:name="_PAGE__1_36c1d762_90ed_43a5_bb63_d16caa8" /&amp;gt;&amp;lt;w:bookmarkStart w:id="4" w:name="_PAR__1_5b9ec25c_7500_4ac2_8b67_2afe201f" /&amp;gt;&amp;lt;w:r&amp;gt;&amp;lt;w:rPr&amp;gt;&amp;lt;w:b /&amp;gt;&amp;lt;/w:rPr&amp;gt;&amp;lt;w:t&amp;gt;Be it enacted by the People of the State of Maine as follows:&amp;lt;/w:t&amp;gt;&amp;lt;/w:r&amp;gt;&amp;lt;/w:p&amp;gt;&amp;lt;w:p w:rsidR="004054A1" w:rsidRDefault="004054A1" w:rsidP="004054A1"&amp;gt;&amp;lt;w:pPr&amp;gt;&amp;lt;w:ind w:left="360" w:firstLine="360" /&amp;gt;&amp;lt;/w:pPr&amp;gt;&amp;lt;w:bookmarkStart w:id="5" w:name="_BILL_SECTION_HEADER__a67f7c9a_5278_40e9" /&amp;gt;&amp;lt;w:bookmarkStart w:id="6" w:name="_BILL_SECTION__4f64af90_db1a_433f_a71f_b" /&amp;gt;&amp;lt;w:bookmarkStart w:id="7" w:name="_DOC_BODY_CONTENT__89aa5377_4a92_4d09_a0" /&amp;gt;&amp;lt;w:bookmarkStart w:id="8" w:name="_PAR__2_5ca7af37_a69e_4b3d_9409_776f8c46"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w:id="9" w:name="_BILL_SECTION_NUMBER__e6dddbf7_5e29_40c9" /&amp;gt;&amp;lt;w:r&amp;gt;&amp;lt;w:rPr&amp;gt;&amp;lt;w:b /&amp;gt;&amp;lt;w:sz w:val="24" /&amp;gt;&amp;lt;/w:rPr&amp;gt;&amp;lt;w:t&amp;gt;1&amp;lt;/w:t&amp;gt;&amp;lt;/w:r&amp;gt;&amp;lt;w:bookmarkEnd w:id="9" /&amp;gt;&amp;lt;w:r&amp;gt;&amp;lt;w:rPr&amp;gt;&amp;lt;w:b /&amp;gt;&amp;lt;w:sz w:val="24" /&amp;gt;&amp;lt;/w:rPr&amp;gt;&amp;lt;w:t&amp;gt;.  25 MRSA §2452, sub-§4,&amp;lt;/w:t&amp;gt;&amp;lt;/w:r&amp;gt;&amp;lt;w:r&amp;gt;&amp;lt;w:t xml:space="preserve"&amp;gt; as enacted by PL 2019, c. 358, §1, is repealed.&amp;lt;/w:t&amp;gt;&amp;lt;/w:r&amp;gt;&amp;lt;/w:p&amp;gt;&amp;lt;w:p w:rsidR="004054A1" w:rsidRDefault="004054A1" w:rsidP="004054A1"&amp;gt;&amp;lt;w:pPr&amp;gt;&amp;lt;w:keepNext /&amp;gt;&amp;lt;w:spacing w:before="240" /&amp;gt;&amp;lt;w:ind w:left="360" /&amp;gt;&amp;lt;w:jc w:val="center" /&amp;gt;&amp;lt;/w:pPr&amp;gt;&amp;lt;w:bookmarkStart w:id="10" w:name="_SUMMARY__50502b72_cbbe_4f8e_8b64_891b2e" /&amp;gt;&amp;lt;w:bookmarkStart w:id="11" w:name="_PAR__3_fa99b81b_6aad_42fe_993d_7b26da66" /&amp;gt;&amp;lt;w:bookmarkEnd w:id="5"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/&amp;gt;&amp;lt;/w:rPr&amp;gt;&amp;lt;w:t&amp;gt;SUMMARY&amp;lt;/w:t&amp;gt;&amp;lt;/w:r&amp;gt;&amp;lt;/w:p&amp;gt;&amp;lt;w:p w:rsidR="004054A1" w:rsidRDefault="004054A1" w:rsidP="004054A1"&amp;gt;&amp;lt;w:pPr&amp;gt;&amp;lt;w:ind w:left="360" w:firstLine="360" /&amp;gt;&amp;lt;/w:pPr&amp;gt;&amp;lt;w:bookmarkStart w:id="12" w:name="_PAR__4_339869fc_bc76_4c97_9996_b4270f9f" /&amp;gt;&amp;lt;w:bookmarkEnd w:id="11" /&amp;gt;&amp;lt;w:r&amp;gt;&amp;lt;w:t&amp;gt;Current law provides that a certified substance use disorder recovery residence is treated as a family residence for the purposes of life safety code requirements, regardless of its&amp;lt;/w:t&amp;gt;&amp;lt;/w:r&amp;gt;&amp;lt;w:r&amp;gt;&amp;lt;w:t xml:space="preserve"&amp;gt; &amp;lt;/w:t&amp;gt;&amp;lt;/w:r&amp;gt;&amp;lt;w:r&amp;gt;&amp;lt;w:t&amp;gt;size, layout or number of residents.  This bill repeals that provision to require such recovery residences to meet the life safety&amp;lt;/w:t&amp;gt;&amp;lt;/w:r&amp;gt;&amp;lt;w:r&amp;gt;&amp;lt;w:t xml:space="preserve"&amp;gt; &amp;lt;/w:t&amp;gt;&amp;lt;/w:r&amp;gt;&amp;lt;w:r&amp;gt;&amp;lt;w:t&amp;gt;code requirements for similarly situated buildings and housing establishments.&amp;lt;/w:t&amp;gt;&amp;lt;/w:r&amp;gt;&amp;lt;/w:p&amp;gt;&amp;lt;w:bookmarkEnd w:id="1" /&amp;gt;&amp;lt;w:bookmarkEnd w:id="2" /&amp;gt;&amp;lt;w:bookmarkEnd w:id="3" /&amp;gt;&amp;lt;w:bookmarkEnd w:id="10" /&amp;gt;&amp;lt;w:bookmarkEnd w:id="12" /&amp;gt;&amp;lt;w:p w:rsidR="00000000" w:rsidRDefault="004054A1"&amp;gt;&amp;lt;w:r&amp;gt;&amp;lt;w:t xml:space="preserve"&amp;gt; &amp;lt;/w:t&amp;gt;&amp;lt;/w:r&amp;gt;&amp;lt;/w:p&amp;gt;&amp;lt;w:sectPr w:rsidR="00000000" w:rsidSect="004054A1"&amp;gt;&amp;lt;w:footerReference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w:rsidR="003E0D1D" w:rsidRDefault="004054A1"&amp;gt;&amp;lt;w:pPr&amp;gt;&amp;lt;w:pStyle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/&amp;gt;&amp;lt;/w:rPr&amp;gt;&amp;lt;w:t&amp;gt;131LR0348(01)&amp;lt;/w:t&amp;gt;&amp;lt;/w:r&amp;gt;&amp;lt;w:r&amp;gt;&amp;lt;w:rPr&amp;gt;&amp;lt;w:snapToGrid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36c1d762_90ed_43a5_bb63_d16caa8&lt;/BookmarkName&gt;&lt;Tables /&gt;&lt;/ProcessedCheckInPage&gt;&lt;/Pages&gt;&lt;Paragraphs&gt;&lt;CheckInParagraphs&gt;&lt;PageNumber&gt;1&lt;/PageNumber&gt;&lt;BookmarkName&gt;_PAR__1_5b9ec25c_7500_4ac2_8b67_2afe201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ca7af37_a69e_4b3d_9409_776f8c46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a99b81b_6aad_42fe_993d_7b26da66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339869fc_bc76_4c97_9996_b4270f9f&lt;/BookmarkName&gt;&lt;StartingLineNumber&gt;4&lt;/StartingLineNumber&gt;&lt;EndingLineNumber&gt;8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