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an Immediate Opportunity To Appeal for a Juvenile Bound Over into Criminal Court</w:t>
      </w:r>
    </w:p>
    <w:p w:rsidR="0016296F" w:rsidP="0016296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60284c6_8e54_48ac_b677_3e"/>
      <w:bookmarkStart w:id="1" w:name="_PAGE__1_6d899913_52bf_45eb_866f_b209d5f"/>
      <w:bookmarkStart w:id="2" w:name="_PAR__2_8a8acd92_90cf_4dba_ba6a_fff0c2e7"/>
      <w:r>
        <w:rPr>
          <w:rFonts w:ascii="Arial" w:eastAsia="Arial" w:hAnsi="Arial" w:cs="Arial"/>
          <w:caps/>
        </w:rPr>
        <w:t>L.D. 27</w:t>
      </w:r>
    </w:p>
    <w:p w:rsidR="0016296F" w:rsidP="0016296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b9e40e21_69d3_469e_8412_920eecf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16296F" w:rsidP="0016296F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37e9dca_08ff_4269_98ff_6d07b0e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16296F" w:rsidP="0016296F">
      <w:pPr>
        <w:spacing w:before="60" w:after="60"/>
        <w:ind w:left="720"/>
        <w:rPr>
          <w:rFonts w:ascii="Arial" w:eastAsia="Arial" w:hAnsi="Arial" w:cs="Arial"/>
        </w:rPr>
      </w:pPr>
      <w:bookmarkStart w:id="5" w:name="_PAR__5_6520674b_7dd4_49a0_aad3_48748e73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16296F" w:rsidP="0016296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4173fb8_2ea1_4d48_a3e9_19a8ff5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6296F" w:rsidP="0016296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0469a5ee_019b_418d_82c5_1ba8695f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16296F" w:rsidP="0016296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1b8183d_6dd1_4d20_8ab0_a1975f4d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6296F" w:rsidP="0016296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2695545_86a7_4c7b_b306_a21b1197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16296F" w:rsidP="0016296F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df12cb4a_eaac_478a_b72a_1876bd6"/>
      <w:bookmarkEnd w:id="9"/>
      <w:r>
        <w:rPr>
          <w:rFonts w:ascii="Arial" w:eastAsia="Arial" w:hAnsi="Arial" w:cs="Arial"/>
          <w:szCs w:val="22"/>
        </w:rPr>
        <w:t>COMMITTEE AMENDMENT “      ” to S.P. 35, L.D. 27, “An Act To Provide an Immediate Opportunity To Appeal for a Juvenile Bound Over into Criminal Court”</w:t>
      </w:r>
    </w:p>
    <w:p w:rsidR="0016296F" w:rsidP="0016296F">
      <w:pPr>
        <w:ind w:left="360" w:firstLine="360"/>
        <w:rPr>
          <w:rFonts w:ascii="Arial" w:eastAsia="Arial" w:hAnsi="Arial" w:cs="Arial"/>
        </w:rPr>
      </w:pPr>
      <w:bookmarkStart w:id="11" w:name="_INSTRUCTION__2937a90a_7f66_4fea_9505_1f"/>
      <w:bookmarkStart w:id="12" w:name="_PAR__11_4133d23f_ee03_4d9d_804f_84b7b82"/>
      <w:bookmarkEnd w:id="0"/>
      <w:bookmarkEnd w:id="10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16296F" w:rsidP="0016296F">
      <w:pPr>
        <w:ind w:left="360" w:firstLine="360"/>
        <w:rPr>
          <w:rFonts w:ascii="Arial" w:eastAsia="Arial" w:hAnsi="Arial" w:cs="Arial"/>
        </w:rPr>
      </w:pPr>
      <w:bookmarkStart w:id="13" w:name="_PAR__12_9c9a450f_5da6_4036_a345_a23b052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15 MRSA §3402, sub-§1, ¶B,</w:t>
      </w:r>
      <w:r>
        <w:rPr>
          <w:rFonts w:ascii="Arial" w:eastAsia="Arial" w:hAnsi="Arial" w:cs="Arial"/>
        </w:rPr>
        <w:t xml:space="preserve"> as amended by PL 1997, c. 645, §11, is further amended to read:</w:t>
      </w:r>
    </w:p>
    <w:p w:rsidR="0016296F" w:rsidP="0016296F">
      <w:pPr>
        <w:ind w:left="720"/>
        <w:rPr>
          <w:rFonts w:ascii="Arial" w:eastAsia="Arial" w:hAnsi="Arial" w:cs="Arial"/>
        </w:rPr>
      </w:pPr>
      <w:bookmarkStart w:id="14" w:name="_PAR__13_992a59a2_abee_4121_adf8_f5aa020"/>
      <w:bookmarkEnd w:id="13"/>
      <w:r>
        <w:rPr>
          <w:rFonts w:ascii="Arial" w:eastAsia="Arial" w:hAnsi="Arial" w:cs="Arial"/>
        </w:rPr>
        <w:t xml:space="preserve">B.  An order of disposition, or of any subsequent order modifying disposition, for an abuse of discretion; </w:t>
      </w:r>
      <w:r>
        <w:rPr>
          <w:rFonts w:ascii="Arial" w:eastAsia="Arial" w:hAnsi="Arial" w:cs="Arial"/>
          <w:strike/>
        </w:rPr>
        <w:t>and</w:t>
      </w:r>
    </w:p>
    <w:p w:rsidR="0016296F" w:rsidP="0016296F">
      <w:pPr>
        <w:ind w:left="360" w:firstLine="360"/>
        <w:rPr>
          <w:rFonts w:ascii="Arial" w:eastAsia="Arial" w:hAnsi="Arial" w:cs="Arial"/>
        </w:rPr>
      </w:pPr>
      <w:bookmarkStart w:id="15" w:name="_PAR__14_0659d90c_6bcf_4d9d_9900_38f987d"/>
      <w:bookmarkEnd w:id="14"/>
      <w:r>
        <w:rPr>
          <w:rFonts w:ascii="Arial" w:eastAsia="Arial" w:hAnsi="Arial" w:cs="Arial"/>
          <w:b/>
          <w:sz w:val="24"/>
        </w:rPr>
        <w:t>Sec. 2.  15 MRSA §3402, sub-§1, ¶D,</w:t>
      </w:r>
      <w:r>
        <w:rPr>
          <w:rFonts w:ascii="Arial" w:eastAsia="Arial" w:hAnsi="Arial" w:cs="Arial"/>
        </w:rPr>
        <w:t xml:space="preserve"> as amended by PL 2005, c. 488, §2, is further amended to read:</w:t>
      </w:r>
    </w:p>
    <w:p w:rsidR="0016296F" w:rsidP="0016296F">
      <w:pPr>
        <w:ind w:left="720"/>
        <w:rPr>
          <w:rFonts w:ascii="Arial" w:eastAsia="Arial" w:hAnsi="Arial" w:cs="Arial"/>
        </w:rPr>
      </w:pPr>
      <w:bookmarkStart w:id="16" w:name="_PAR__15_4dcc2625_648f_4134_99b2_2ca18ca"/>
      <w:bookmarkEnd w:id="15"/>
      <w:r>
        <w:rPr>
          <w:rFonts w:ascii="Arial" w:eastAsia="Arial" w:hAnsi="Arial" w:cs="Arial"/>
        </w:rPr>
        <w:t>D.  A detention order entered pursuant to section 3203‑A, subsection 5 or any refusal to alter a detention order upon petition of the juvenile pursuant to section 3203‑A, subsection 11, for abuse of discretion, provided that the appeal must be handled expeditiously</w:t>
      </w:r>
      <w:r>
        <w:rPr>
          <w:rFonts w:ascii="Arial" w:eastAsia="Arial" w:hAnsi="Arial" w:cs="Arial"/>
          <w:strike/>
        </w:rPr>
        <w:t>.</w:t>
      </w:r>
      <w:r>
        <w:rPr>
          <w:rFonts w:ascii="Arial" w:eastAsia="Arial" w:hAnsi="Arial" w:cs="Arial"/>
          <w:u w:val="single"/>
        </w:rPr>
        <w:t>; and</w:t>
      </w:r>
    </w:p>
    <w:p w:rsidR="0016296F" w:rsidP="0016296F">
      <w:pPr>
        <w:ind w:left="360" w:firstLine="360"/>
        <w:rPr>
          <w:rFonts w:ascii="Arial" w:eastAsia="Arial" w:hAnsi="Arial" w:cs="Arial"/>
        </w:rPr>
      </w:pPr>
      <w:bookmarkStart w:id="17" w:name="_PAR__16_4c4f02e5_c2ca_4b2f_9e81_f3ea675"/>
      <w:bookmarkEnd w:id="16"/>
      <w:r>
        <w:rPr>
          <w:rFonts w:ascii="Arial" w:eastAsia="Arial" w:hAnsi="Arial" w:cs="Arial"/>
          <w:b/>
          <w:sz w:val="24"/>
        </w:rPr>
        <w:t>Sec. 3.  15 MRSA §3402, sub-§1, ¶H</w:t>
      </w:r>
      <w:r>
        <w:rPr>
          <w:rFonts w:ascii="Arial" w:eastAsia="Arial" w:hAnsi="Arial" w:cs="Arial"/>
        </w:rPr>
        <w:t xml:space="preserve"> is enacted to read:</w:t>
      </w:r>
    </w:p>
    <w:p w:rsidR="0016296F" w:rsidP="0016296F">
      <w:pPr>
        <w:ind w:left="720"/>
        <w:rPr>
          <w:rFonts w:ascii="Arial" w:eastAsia="Arial" w:hAnsi="Arial" w:cs="Arial"/>
        </w:rPr>
      </w:pPr>
      <w:bookmarkStart w:id="18" w:name="_PAR__17_104a717e_1ae6_4be3_be3d_32faf58"/>
      <w:bookmarkEnd w:id="17"/>
      <w:r>
        <w:rPr>
          <w:rFonts w:ascii="Arial" w:eastAsia="Arial" w:hAnsi="Arial" w:cs="Arial"/>
          <w:u w:val="single"/>
        </w:rPr>
        <w:t>H.  An order binding a juvenile over for prosecution as an adult, which may be taken following issuance of the bind-over order, or, at the election of the appellant, following a judgment of conviction as an adult, but not both.</w:t>
      </w:r>
    </w:p>
    <w:p w:rsidR="0016296F" w:rsidP="0016296F">
      <w:pPr>
        <w:ind w:left="360" w:firstLine="360"/>
        <w:rPr>
          <w:rFonts w:ascii="Arial" w:eastAsia="Arial" w:hAnsi="Arial" w:cs="Arial"/>
        </w:rPr>
      </w:pPr>
      <w:bookmarkStart w:id="19" w:name="_PAR__18_d4abd56c_f7fe_4365_82ef_8988894"/>
      <w:bookmarkEnd w:id="18"/>
      <w:r>
        <w:rPr>
          <w:rFonts w:ascii="Arial" w:eastAsia="Arial" w:hAnsi="Arial" w:cs="Arial"/>
          <w:b/>
          <w:sz w:val="24"/>
        </w:rPr>
        <w:t>Sec. 4.  15 MRSA §3402, sub-§2-A,</w:t>
      </w:r>
      <w:r>
        <w:rPr>
          <w:rFonts w:ascii="Arial" w:eastAsia="Arial" w:hAnsi="Arial" w:cs="Arial"/>
        </w:rPr>
        <w:t xml:space="preserve"> as enacted by PL 2015, c. 100, §3, is repealed.'</w:t>
      </w:r>
    </w:p>
    <w:p w:rsidR="0016296F" w:rsidP="0016296F">
      <w:pPr>
        <w:ind w:left="360" w:firstLine="360"/>
        <w:rPr>
          <w:rFonts w:ascii="Arial" w:eastAsia="Arial" w:hAnsi="Arial" w:cs="Arial"/>
        </w:rPr>
      </w:pPr>
      <w:bookmarkStart w:id="20" w:name="_INSTRUCTION__ef0881ff_727c_4142_8be7_e8"/>
      <w:bookmarkStart w:id="21" w:name="_PAR__19_940e22b9_b636_4271_a763_7b42d06"/>
      <w:bookmarkEnd w:id="11"/>
      <w:bookmarkEnd w:id="19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16296F" w:rsidP="0016296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" w:name="_SUMMARY__15ae5c5b_88f9_4bd5_ba1b_ac9b68"/>
      <w:bookmarkStart w:id="23" w:name="_PAR__20_26c6e17f_7e36_4594_84a0_7d7246c"/>
      <w:bookmarkEnd w:id="20"/>
      <w:bookmarkEnd w:id="21"/>
      <w:r>
        <w:rPr>
          <w:rFonts w:ascii="Arial" w:eastAsia="Arial" w:hAnsi="Arial" w:cs="Arial"/>
          <w:b/>
          <w:sz w:val="24"/>
        </w:rPr>
        <w:t>SUMMARY</w:t>
      </w:r>
    </w:p>
    <w:p w:rsidR="0016296F" w:rsidP="0016296F">
      <w:pPr>
        <w:ind w:left="360" w:firstLine="360"/>
        <w:rPr>
          <w:rFonts w:ascii="Arial" w:eastAsia="Arial" w:hAnsi="Arial" w:cs="Arial"/>
        </w:rPr>
      </w:pPr>
      <w:bookmarkStart w:id="24" w:name="_PAR__21_afb3ef68_a192_4853_b6f4_5742b0a"/>
      <w:bookmarkEnd w:id="23"/>
      <w:r>
        <w:rPr>
          <w:rFonts w:ascii="Arial" w:eastAsia="Arial" w:hAnsi="Arial" w:cs="Arial"/>
        </w:rPr>
        <w:t>This amendment replaces the bill.  The bill revised the timing of a juvenile's appeal of the bind-over decision from after conviction as an adult to immediately after the Juvenile Court's bind-over decision.</w:t>
      </w:r>
    </w:p>
    <w:p w:rsidR="0016296F" w:rsidP="0016296F">
      <w:pPr>
        <w:keepNext/>
        <w:ind w:left="360" w:firstLine="360"/>
        <w:rPr>
          <w:rFonts w:ascii="Arial" w:eastAsia="Arial" w:hAnsi="Arial" w:cs="Arial"/>
        </w:rPr>
      </w:pPr>
      <w:bookmarkStart w:id="25" w:name="_PAGE__2_d7134a9b_fb32_4577_982e_612f617"/>
      <w:bookmarkStart w:id="26" w:name="_PAR__2_449623ba_2121_4500_a5ab_34d3ce6f"/>
      <w:bookmarkEnd w:id="1"/>
      <w:bookmarkEnd w:id="24"/>
      <w:r>
        <w:rPr>
          <w:rFonts w:ascii="Arial" w:eastAsia="Arial" w:hAnsi="Arial" w:cs="Arial"/>
        </w:rPr>
        <w:t>This amendment provides the juvenile with the choice of when to appeal:  either immediately after the bind-over decision, as proposed in the bill, or after conviction as an adult, should that occur, as provided in current law.  A juvenile who appeals the bind-over decision immediately, loses that appeal and is tried as an adult and is convicted does not have the opportunity to appeal again.</w:t>
      </w:r>
    </w:p>
    <w:p w:rsidR="0016296F" w:rsidP="0016296F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7" w:name="_FISCAL_NOTE_REQUIRED__42e67dc1_1461_4b1"/>
      <w:bookmarkStart w:id="28" w:name="_PAR__3_f4926cc7_7770_410e_b8d2_ac2cad81"/>
      <w:bookmarkEnd w:id="26"/>
      <w:r>
        <w:rPr>
          <w:rFonts w:ascii="Arial" w:eastAsia="Arial" w:hAnsi="Arial" w:cs="Arial"/>
          <w:b/>
        </w:rPr>
        <w:t>FISCAL NOTE REQUIRED</w:t>
      </w:r>
    </w:p>
    <w:p w:rsidR="00000000" w:rsidRPr="0016296F" w:rsidP="0016296F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9" w:name="_PAR__4_f1be9887_73aa_4ad6_b550_883e9985"/>
      <w:bookmarkEnd w:id="28"/>
      <w:r>
        <w:rPr>
          <w:rFonts w:ascii="Arial" w:eastAsia="Arial" w:hAnsi="Arial" w:cs="Arial"/>
          <w:b/>
        </w:rPr>
        <w:t>(See attached)</w:t>
      </w:r>
      <w:bookmarkEnd w:id="22"/>
      <w:bookmarkEnd w:id="25"/>
      <w:bookmarkEnd w:id="27"/>
      <w:bookmarkEnd w:id="2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LR0227,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an Immediate Opportunity To Appeal for a Juvenile Bound Over into Criminal Court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296F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